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B" w:rsidRPr="00280119" w:rsidRDefault="00FB3F4B">
      <w:pPr>
        <w:rPr>
          <w:sz w:val="28"/>
          <w:szCs w:val="28"/>
        </w:rPr>
      </w:pPr>
    </w:p>
    <w:p w:rsidR="00FB3F4B" w:rsidRPr="00280119" w:rsidRDefault="00FB3F4B">
      <w:pPr>
        <w:rPr>
          <w:sz w:val="28"/>
          <w:szCs w:val="28"/>
        </w:rPr>
      </w:pPr>
    </w:p>
    <w:p w:rsidR="00FB3F4B" w:rsidRPr="00280119" w:rsidRDefault="00FB3F4B">
      <w:pPr>
        <w:rPr>
          <w:sz w:val="28"/>
          <w:szCs w:val="28"/>
        </w:rPr>
      </w:pPr>
    </w:p>
    <w:p w:rsidR="00FB3F4B" w:rsidRPr="00280119" w:rsidRDefault="00FB3F4B">
      <w:pPr>
        <w:rPr>
          <w:sz w:val="28"/>
          <w:szCs w:val="28"/>
        </w:rPr>
      </w:pPr>
    </w:p>
    <w:p w:rsidR="00FB3F4B" w:rsidRPr="00280119" w:rsidRDefault="00C858E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Заключение на отчёт об исполнении </w:t>
      </w:r>
      <w:r w:rsidR="00FB3F4B" w:rsidRPr="00280119">
        <w:rPr>
          <w:rFonts w:cs="Times New Roman"/>
          <w:sz w:val="28"/>
          <w:szCs w:val="28"/>
        </w:rPr>
        <w:t xml:space="preserve"> бюджета </w:t>
      </w:r>
    </w:p>
    <w:p w:rsidR="00FB3F4B" w:rsidRPr="00280119" w:rsidRDefault="00FB3F4B">
      <w:pPr>
        <w:jc w:val="center"/>
        <w:rPr>
          <w:rFonts w:cs="Times New Roman"/>
          <w:sz w:val="28"/>
          <w:szCs w:val="28"/>
        </w:rPr>
      </w:pPr>
      <w:r w:rsidRPr="00280119">
        <w:rPr>
          <w:rFonts w:cs="Times New Roman"/>
          <w:sz w:val="28"/>
          <w:szCs w:val="28"/>
        </w:rPr>
        <w:t>Дмитриевского сельско</w:t>
      </w:r>
      <w:r w:rsidR="00CF240C">
        <w:rPr>
          <w:rFonts w:cs="Times New Roman"/>
          <w:sz w:val="28"/>
          <w:szCs w:val="28"/>
        </w:rPr>
        <w:t>го поселения за 1 полугодие 2017</w:t>
      </w:r>
      <w:r w:rsidRPr="00280119">
        <w:rPr>
          <w:rFonts w:cs="Times New Roman"/>
          <w:sz w:val="28"/>
          <w:szCs w:val="28"/>
        </w:rPr>
        <w:t xml:space="preserve"> года</w:t>
      </w:r>
    </w:p>
    <w:p w:rsidR="00FB3F4B" w:rsidRPr="00280119" w:rsidRDefault="00FB3F4B">
      <w:pPr>
        <w:jc w:val="center"/>
        <w:rPr>
          <w:rFonts w:cs="Times New Roman"/>
          <w:sz w:val="28"/>
          <w:szCs w:val="28"/>
        </w:rPr>
      </w:pPr>
    </w:p>
    <w:p w:rsidR="00FB3F4B" w:rsidRPr="00280119" w:rsidRDefault="00FB3F4B">
      <w:pPr>
        <w:jc w:val="both"/>
        <w:rPr>
          <w:rFonts w:cs="Times New Roman"/>
          <w:sz w:val="28"/>
          <w:szCs w:val="28"/>
        </w:rPr>
      </w:pPr>
      <w:r w:rsidRPr="00280119">
        <w:rPr>
          <w:rFonts w:cs="Times New Roman"/>
          <w:sz w:val="28"/>
          <w:szCs w:val="28"/>
        </w:rPr>
        <w:t xml:space="preserve">    В соответствии с планом работы Контрольно-счётного органа муниципального образования Галичский муниципальный район </w:t>
      </w:r>
      <w:r w:rsidRPr="00280119">
        <w:rPr>
          <w:rFonts w:cs="Times New Roman"/>
          <w:sz w:val="28"/>
          <w:szCs w:val="28"/>
        </w:rPr>
        <w:tab/>
        <w:t>Костромской области был проведён анализ отчёта об исполнении бюджета Дмитриевского сельско</w:t>
      </w:r>
      <w:r w:rsidR="00CF240C">
        <w:rPr>
          <w:rFonts w:cs="Times New Roman"/>
          <w:sz w:val="28"/>
          <w:szCs w:val="28"/>
        </w:rPr>
        <w:t>го поселения за 1 полугодие 2017</w:t>
      </w:r>
      <w:r w:rsidRPr="00280119">
        <w:rPr>
          <w:rFonts w:cs="Times New Roman"/>
          <w:sz w:val="28"/>
          <w:szCs w:val="28"/>
        </w:rPr>
        <w:t xml:space="preserve"> года, утверждённого постановлением администрации Дмитр</w:t>
      </w:r>
      <w:r w:rsidR="0047471C" w:rsidRPr="00280119">
        <w:rPr>
          <w:rFonts w:cs="Times New Roman"/>
          <w:sz w:val="28"/>
          <w:szCs w:val="28"/>
        </w:rPr>
        <w:t>ие</w:t>
      </w:r>
      <w:r w:rsidR="00280119">
        <w:rPr>
          <w:rFonts w:cs="Times New Roman"/>
          <w:sz w:val="28"/>
          <w:szCs w:val="28"/>
        </w:rPr>
        <w:t xml:space="preserve">вского сельского поселения № </w:t>
      </w:r>
      <w:r w:rsidR="00CF240C">
        <w:rPr>
          <w:rFonts w:cs="Times New Roman"/>
          <w:sz w:val="28"/>
          <w:szCs w:val="28"/>
        </w:rPr>
        <w:t>45/1 от 21.08.2017</w:t>
      </w:r>
      <w:r w:rsidRPr="00280119">
        <w:rPr>
          <w:rFonts w:cs="Times New Roman"/>
          <w:sz w:val="28"/>
          <w:szCs w:val="28"/>
        </w:rPr>
        <w:t xml:space="preserve"> года.</w:t>
      </w:r>
    </w:p>
    <w:p w:rsidR="00FB3F4B" w:rsidRPr="00280119" w:rsidRDefault="00FB3F4B">
      <w:pPr>
        <w:jc w:val="both"/>
        <w:rPr>
          <w:rFonts w:cs="Times New Roman"/>
          <w:sz w:val="28"/>
          <w:szCs w:val="28"/>
        </w:rPr>
      </w:pPr>
    </w:p>
    <w:p w:rsidR="00FB3F4B" w:rsidRPr="00280119" w:rsidRDefault="00FB3F4B">
      <w:pPr>
        <w:jc w:val="both"/>
        <w:rPr>
          <w:rFonts w:cs="Times New Roman"/>
          <w:sz w:val="28"/>
          <w:szCs w:val="28"/>
        </w:rPr>
      </w:pPr>
      <w:r w:rsidRPr="00280119">
        <w:rPr>
          <w:rFonts w:cs="Times New Roman"/>
          <w:sz w:val="28"/>
          <w:szCs w:val="28"/>
        </w:rPr>
        <w:t xml:space="preserve">         </w:t>
      </w:r>
      <w:r w:rsidR="00CF240C">
        <w:rPr>
          <w:rFonts w:cs="Times New Roman"/>
          <w:sz w:val="28"/>
          <w:szCs w:val="28"/>
        </w:rPr>
        <w:t>По состоянию на  01.07.2017</w:t>
      </w:r>
      <w:r w:rsidRPr="00280119">
        <w:rPr>
          <w:rFonts w:cs="Times New Roman"/>
          <w:sz w:val="28"/>
          <w:szCs w:val="28"/>
        </w:rPr>
        <w:t xml:space="preserve"> года бюджет Дмитриевского сельского поселения, согласно данным отчёта администрации поселения, фактически поступление доходов за 1 полу</w:t>
      </w:r>
      <w:r w:rsidR="00CF240C">
        <w:rPr>
          <w:rFonts w:cs="Times New Roman"/>
          <w:sz w:val="28"/>
          <w:szCs w:val="28"/>
        </w:rPr>
        <w:t>годие 2017</w:t>
      </w:r>
      <w:r w:rsidRPr="00280119">
        <w:rPr>
          <w:rFonts w:cs="Times New Roman"/>
          <w:sz w:val="28"/>
          <w:szCs w:val="28"/>
        </w:rPr>
        <w:t xml:space="preserve"> года составило </w:t>
      </w:r>
      <w:r w:rsidR="00CF240C">
        <w:rPr>
          <w:rFonts w:cs="Times New Roman"/>
          <w:sz w:val="28"/>
          <w:szCs w:val="28"/>
        </w:rPr>
        <w:t>8814,2</w:t>
      </w:r>
      <w:r w:rsidRPr="00280119">
        <w:rPr>
          <w:rFonts w:cs="Times New Roman"/>
          <w:sz w:val="28"/>
          <w:szCs w:val="28"/>
        </w:rPr>
        <w:t xml:space="preserve"> тыс. рублей или </w:t>
      </w:r>
      <w:r w:rsidR="00CF240C">
        <w:rPr>
          <w:rFonts w:cs="Times New Roman"/>
          <w:sz w:val="28"/>
          <w:szCs w:val="28"/>
        </w:rPr>
        <w:t xml:space="preserve">49,7 </w:t>
      </w:r>
      <w:r w:rsidRPr="00280119">
        <w:rPr>
          <w:rFonts w:cs="Times New Roman"/>
          <w:sz w:val="28"/>
          <w:szCs w:val="28"/>
        </w:rPr>
        <w:t>%.</w:t>
      </w:r>
    </w:p>
    <w:p w:rsidR="00FB3F4B" w:rsidRPr="00280119" w:rsidRDefault="00FB3F4B">
      <w:pPr>
        <w:jc w:val="both"/>
        <w:rPr>
          <w:rFonts w:cs="Times New Roman"/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rFonts w:cs="Times New Roman"/>
          <w:sz w:val="28"/>
          <w:szCs w:val="28"/>
        </w:rPr>
        <w:t xml:space="preserve">         Структура доходов бюджета сельского поселения в разрезе источников поступления приведена в таблице: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767CB3" w:rsidP="00235B27">
      <w:pPr>
        <w:tabs>
          <w:tab w:val="left" w:pos="789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35B27" w:rsidRPr="00280119">
        <w:rPr>
          <w:sz w:val="28"/>
          <w:szCs w:val="28"/>
        </w:rPr>
        <w:t xml:space="preserve"> </w:t>
      </w:r>
      <w:r w:rsidR="00235B27" w:rsidRPr="00280119">
        <w:rPr>
          <w:i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545"/>
        <w:gridCol w:w="1440"/>
        <w:gridCol w:w="1365"/>
        <w:gridCol w:w="1303"/>
      </w:tblGrid>
      <w:tr w:rsidR="00FB3F4B" w:rsidRPr="00280119"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Источники поступления доходов</w:t>
            </w:r>
          </w:p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Плановые годовые назначения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Исполнено за 1 полугодие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 w:rsidP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% исполнения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Удельный вес</w:t>
            </w:r>
            <w:proofErr w:type="gramStart"/>
            <w:r w:rsidRPr="00280119">
              <w:rPr>
                <w:rFonts w:cs="Times New Roman"/>
                <w:i/>
                <w:i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3F4B" w:rsidRPr="00280119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Собственные доходы - Всего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CF240C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11610,9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5927,0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51,0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75228F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67,2</w:t>
            </w:r>
          </w:p>
        </w:tc>
      </w:tr>
      <w:tr w:rsidR="00FB3F4B" w:rsidRPr="00280119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CF240C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</w:t>
            </w:r>
            <w:r w:rsidR="00FB3F4B" w:rsidRPr="00280119">
              <w:rPr>
                <w:rFonts w:cs="Times New Roman"/>
                <w:i/>
                <w:iCs/>
                <w:sz w:val="28"/>
                <w:szCs w:val="28"/>
              </w:rPr>
              <w:t xml:space="preserve"> т.ч. 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CF240C" w:rsidP="00CF240C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11529,9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5886,7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51,1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75228F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66,8</w:t>
            </w:r>
          </w:p>
        </w:tc>
      </w:tr>
      <w:tr w:rsidR="00FB3F4B" w:rsidRPr="00280119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81,0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40,3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49,8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75228F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45,7</w:t>
            </w:r>
          </w:p>
        </w:tc>
      </w:tr>
      <w:tr w:rsidR="00FB3F4B" w:rsidRPr="00280119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6115,3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2887,2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47,2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75228F">
            <w:pPr>
              <w:pStyle w:val="a6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32,8</w:t>
            </w:r>
          </w:p>
        </w:tc>
      </w:tr>
      <w:tr w:rsidR="00FB3F4B" w:rsidRPr="00280119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28011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17726,2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8814,2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E25FD">
            <w:pPr>
              <w:pStyle w:val="a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49,7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75228F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</w:tbl>
    <w:p w:rsidR="007776A8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</w:t>
      </w:r>
    </w:p>
    <w:p w:rsidR="00FB3F4B" w:rsidRPr="00280119" w:rsidRDefault="0077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F4B" w:rsidRPr="00280119">
        <w:rPr>
          <w:sz w:val="28"/>
          <w:szCs w:val="28"/>
        </w:rPr>
        <w:t xml:space="preserve"> Из данных,</w:t>
      </w:r>
      <w:r w:rsidR="0047471C" w:rsidRPr="00280119">
        <w:rPr>
          <w:sz w:val="28"/>
          <w:szCs w:val="28"/>
        </w:rPr>
        <w:t xml:space="preserve"> </w:t>
      </w:r>
      <w:r w:rsidR="00FB3F4B" w:rsidRPr="00280119">
        <w:rPr>
          <w:sz w:val="28"/>
          <w:szCs w:val="28"/>
        </w:rPr>
        <w:t xml:space="preserve">приведённых в таблице видно, что </w:t>
      </w:r>
      <w:r w:rsidR="00A36F7F" w:rsidRPr="00280119">
        <w:rPr>
          <w:sz w:val="28"/>
          <w:szCs w:val="28"/>
        </w:rPr>
        <w:t xml:space="preserve">план по поступлению доходов </w:t>
      </w:r>
      <w:r w:rsidR="0019220C" w:rsidRPr="00280119">
        <w:rPr>
          <w:sz w:val="28"/>
          <w:szCs w:val="28"/>
        </w:rPr>
        <w:t xml:space="preserve">в бюджет сельского поселения выполнен на </w:t>
      </w:r>
      <w:r w:rsidR="0075228F">
        <w:rPr>
          <w:sz w:val="28"/>
          <w:szCs w:val="28"/>
        </w:rPr>
        <w:t>49,7</w:t>
      </w:r>
      <w:r w:rsidR="0019220C" w:rsidRPr="00280119">
        <w:rPr>
          <w:sz w:val="28"/>
          <w:szCs w:val="28"/>
        </w:rPr>
        <w:t xml:space="preserve"> %,</w:t>
      </w:r>
      <w:r w:rsidR="0075228F">
        <w:rPr>
          <w:sz w:val="28"/>
          <w:szCs w:val="28"/>
        </w:rPr>
        <w:t xml:space="preserve"> что на 12,6 процентных пункта меньше соответствующего периода 2016 года.  П</w:t>
      </w:r>
      <w:r w:rsidR="0019220C" w:rsidRPr="00280119">
        <w:rPr>
          <w:sz w:val="28"/>
          <w:szCs w:val="28"/>
        </w:rPr>
        <w:t xml:space="preserve">ри этом поступление объёма собственных доходов выполнено на </w:t>
      </w:r>
      <w:r w:rsidR="0075228F">
        <w:rPr>
          <w:sz w:val="28"/>
          <w:szCs w:val="28"/>
        </w:rPr>
        <w:t>51,0</w:t>
      </w:r>
      <w:r w:rsidR="0019220C" w:rsidRPr="00280119">
        <w:rPr>
          <w:sz w:val="28"/>
          <w:szCs w:val="28"/>
        </w:rPr>
        <w:t xml:space="preserve"> %, а объём безвозмездных поступлений на </w:t>
      </w:r>
      <w:r w:rsidR="006F6FF5">
        <w:rPr>
          <w:sz w:val="28"/>
          <w:szCs w:val="28"/>
        </w:rPr>
        <w:t>47,2</w:t>
      </w:r>
      <w:r w:rsidR="0019220C" w:rsidRPr="00280119">
        <w:rPr>
          <w:sz w:val="28"/>
          <w:szCs w:val="28"/>
        </w:rPr>
        <w:t xml:space="preserve"> %. В структуре поступлений собственных доходов наибольший удельный вес составляют:</w:t>
      </w:r>
      <w:r w:rsidR="00235B27" w:rsidRPr="00280119">
        <w:rPr>
          <w:sz w:val="28"/>
          <w:szCs w:val="28"/>
        </w:rPr>
        <w:t xml:space="preserve"> налоги на </w:t>
      </w:r>
      <w:r w:rsidR="006F6FF5">
        <w:rPr>
          <w:sz w:val="28"/>
          <w:szCs w:val="28"/>
        </w:rPr>
        <w:t>совокупный доход</w:t>
      </w:r>
      <w:r w:rsidR="00235B27" w:rsidRPr="00280119">
        <w:rPr>
          <w:sz w:val="28"/>
          <w:szCs w:val="28"/>
        </w:rPr>
        <w:t xml:space="preserve"> – </w:t>
      </w:r>
      <w:r w:rsidR="006F6FF5">
        <w:rPr>
          <w:sz w:val="28"/>
          <w:szCs w:val="28"/>
        </w:rPr>
        <w:t>38,0</w:t>
      </w:r>
      <w:r w:rsidR="00235B27" w:rsidRPr="00280119">
        <w:rPr>
          <w:sz w:val="28"/>
          <w:szCs w:val="28"/>
        </w:rPr>
        <w:t xml:space="preserve"> %, налог на доходы физических лиц – </w:t>
      </w:r>
      <w:r w:rsidR="006F6FF5">
        <w:rPr>
          <w:sz w:val="28"/>
          <w:szCs w:val="28"/>
        </w:rPr>
        <w:t>31,9</w:t>
      </w:r>
      <w:r w:rsidR="00235B27" w:rsidRPr="00280119">
        <w:rPr>
          <w:sz w:val="28"/>
          <w:szCs w:val="28"/>
        </w:rPr>
        <w:t xml:space="preserve"> %, доходы от уплаты акцизов – </w:t>
      </w:r>
      <w:r w:rsidR="006F6FF5">
        <w:rPr>
          <w:sz w:val="28"/>
          <w:szCs w:val="28"/>
        </w:rPr>
        <w:t>16,7</w:t>
      </w:r>
      <w:r w:rsidR="00235B27" w:rsidRPr="00280119">
        <w:rPr>
          <w:sz w:val="28"/>
          <w:szCs w:val="28"/>
        </w:rPr>
        <w:t xml:space="preserve"> %.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Сравнительный анализ поступления доходов в бюджет сельского поселения </w:t>
      </w:r>
      <w:r w:rsidR="006F6FF5">
        <w:rPr>
          <w:sz w:val="28"/>
          <w:szCs w:val="28"/>
        </w:rPr>
        <w:t>с соответствующим периодом 2016</w:t>
      </w:r>
      <w:r w:rsidR="00235B27" w:rsidRPr="00280119">
        <w:rPr>
          <w:sz w:val="28"/>
          <w:szCs w:val="28"/>
        </w:rPr>
        <w:t xml:space="preserve"> года представлен в</w:t>
      </w:r>
      <w:r w:rsidRPr="00280119">
        <w:rPr>
          <w:sz w:val="28"/>
          <w:szCs w:val="28"/>
        </w:rPr>
        <w:t xml:space="preserve"> таблице: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 w:rsidP="00235B27">
      <w:pPr>
        <w:tabs>
          <w:tab w:val="left" w:pos="8010"/>
        </w:tabs>
        <w:jc w:val="both"/>
        <w:rPr>
          <w:i/>
          <w:sz w:val="28"/>
          <w:szCs w:val="28"/>
        </w:rPr>
      </w:pPr>
      <w:r w:rsidRPr="00280119">
        <w:rPr>
          <w:sz w:val="28"/>
          <w:szCs w:val="28"/>
        </w:rPr>
        <w:t xml:space="preserve">                          </w:t>
      </w:r>
      <w:r w:rsidR="00235B27" w:rsidRPr="00280119">
        <w:rPr>
          <w:sz w:val="28"/>
          <w:szCs w:val="28"/>
        </w:rPr>
        <w:tab/>
      </w:r>
      <w:r w:rsidR="00235B27" w:rsidRPr="00280119">
        <w:rPr>
          <w:i/>
          <w:sz w:val="28"/>
          <w:szCs w:val="28"/>
        </w:rPr>
        <w:t>Таблица №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0"/>
        <w:gridCol w:w="1845"/>
        <w:gridCol w:w="1680"/>
        <w:gridCol w:w="1486"/>
      </w:tblGrid>
      <w:tr w:rsidR="00FB3F4B" w:rsidRPr="00280119"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Источники поступления доходов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235B27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Ис</w:t>
            </w:r>
            <w:r w:rsidR="006F6FF5">
              <w:rPr>
                <w:sz w:val="28"/>
                <w:szCs w:val="28"/>
              </w:rPr>
              <w:t>полнено за 1 полугодие 2016</w:t>
            </w:r>
            <w:r w:rsidR="00FB3F4B" w:rsidRPr="00280119">
              <w:rPr>
                <w:sz w:val="28"/>
                <w:szCs w:val="28"/>
              </w:rPr>
              <w:t xml:space="preserve"> г</w:t>
            </w:r>
            <w:r w:rsidRPr="00280119">
              <w:rPr>
                <w:sz w:val="28"/>
                <w:szCs w:val="28"/>
              </w:rPr>
              <w:t>ода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полугодие 2017</w:t>
            </w:r>
            <w:r w:rsidR="00FB3F4B" w:rsidRPr="00280119">
              <w:rPr>
                <w:sz w:val="28"/>
                <w:szCs w:val="28"/>
              </w:rPr>
              <w:t xml:space="preserve"> г</w:t>
            </w:r>
            <w:r w:rsidR="00F17943" w:rsidRPr="00280119">
              <w:rPr>
                <w:sz w:val="28"/>
                <w:szCs w:val="28"/>
              </w:rPr>
              <w:t>ода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Разница</w:t>
            </w:r>
          </w:p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 xml:space="preserve"> (+),  (-)</w:t>
            </w:r>
          </w:p>
        </w:tc>
      </w:tr>
      <w:tr w:rsidR="00FB3F4B" w:rsidRPr="00280119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5584,7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5927,0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0C2F9D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  <w:r w:rsidR="006F6FF5">
              <w:rPr>
                <w:i/>
                <w:sz w:val="28"/>
                <w:szCs w:val="28"/>
              </w:rPr>
              <w:t>342,3</w:t>
            </w:r>
          </w:p>
        </w:tc>
      </w:tr>
      <w:tr w:rsidR="00FB3F4B" w:rsidRPr="00280119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в т.ч. налоговые доходы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5545,1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5886,7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0C2F9D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  <w:r w:rsidR="006F6FF5">
              <w:rPr>
                <w:i/>
                <w:sz w:val="28"/>
                <w:szCs w:val="28"/>
              </w:rPr>
              <w:t>341,6</w:t>
            </w:r>
          </w:p>
        </w:tc>
      </w:tr>
      <w:tr w:rsidR="00FB3F4B" w:rsidRPr="00280119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40,3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+0,7</w:t>
            </w:r>
          </w:p>
        </w:tc>
      </w:tr>
      <w:tr w:rsidR="00FB3F4B" w:rsidRPr="00280119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4186,7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2887,2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315250">
            <w:pPr>
              <w:pStyle w:val="a6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-1299,5</w:t>
            </w:r>
          </w:p>
        </w:tc>
      </w:tr>
      <w:tr w:rsidR="00FB3F4B" w:rsidRPr="00280119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9771,4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F6FF5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8814,2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315250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-957,2</w:t>
            </w:r>
          </w:p>
        </w:tc>
      </w:tr>
    </w:tbl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032239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  </w:t>
      </w:r>
      <w:proofErr w:type="gramStart"/>
      <w:r w:rsidRPr="00280119">
        <w:rPr>
          <w:sz w:val="28"/>
          <w:szCs w:val="28"/>
        </w:rPr>
        <w:t>Проанализировав поступление доходов в бюджет сельс</w:t>
      </w:r>
      <w:r w:rsidR="00315250">
        <w:rPr>
          <w:sz w:val="28"/>
          <w:szCs w:val="28"/>
        </w:rPr>
        <w:t>кого поселения за 6 месяцев 2017</w:t>
      </w:r>
      <w:r w:rsidRPr="00280119">
        <w:rPr>
          <w:sz w:val="28"/>
          <w:szCs w:val="28"/>
        </w:rPr>
        <w:t xml:space="preserve"> го</w:t>
      </w:r>
      <w:r w:rsidR="00315250">
        <w:rPr>
          <w:sz w:val="28"/>
          <w:szCs w:val="28"/>
        </w:rPr>
        <w:t>да и соответствующий период 2016</w:t>
      </w:r>
      <w:r w:rsidRPr="00280119">
        <w:rPr>
          <w:sz w:val="28"/>
          <w:szCs w:val="28"/>
        </w:rPr>
        <w:t xml:space="preserve"> года следует</w:t>
      </w:r>
      <w:proofErr w:type="gramEnd"/>
      <w:r w:rsidRPr="00280119">
        <w:rPr>
          <w:sz w:val="28"/>
          <w:szCs w:val="28"/>
        </w:rPr>
        <w:t>, что объём поступления доходов у</w:t>
      </w:r>
      <w:r w:rsidR="00315250">
        <w:rPr>
          <w:sz w:val="28"/>
          <w:szCs w:val="28"/>
        </w:rPr>
        <w:t>меньшился</w:t>
      </w:r>
      <w:r w:rsidRPr="00280119">
        <w:rPr>
          <w:sz w:val="28"/>
          <w:szCs w:val="28"/>
        </w:rPr>
        <w:t xml:space="preserve"> на </w:t>
      </w:r>
      <w:r w:rsidR="00315250">
        <w:rPr>
          <w:sz w:val="28"/>
          <w:szCs w:val="28"/>
        </w:rPr>
        <w:t>957,2</w:t>
      </w:r>
      <w:r w:rsidRPr="00280119">
        <w:rPr>
          <w:sz w:val="28"/>
          <w:szCs w:val="28"/>
        </w:rPr>
        <w:t xml:space="preserve"> тыс. рублей</w:t>
      </w:r>
      <w:r w:rsidR="00D17721" w:rsidRPr="00280119">
        <w:rPr>
          <w:sz w:val="28"/>
          <w:szCs w:val="28"/>
        </w:rPr>
        <w:t>. У</w:t>
      </w:r>
      <w:r w:rsidR="000C2F9D">
        <w:rPr>
          <w:sz w:val="28"/>
          <w:szCs w:val="28"/>
        </w:rPr>
        <w:t>меньшение</w:t>
      </w:r>
      <w:r w:rsidR="00D17721" w:rsidRPr="00280119">
        <w:rPr>
          <w:sz w:val="28"/>
          <w:szCs w:val="28"/>
        </w:rPr>
        <w:t xml:space="preserve"> объёма доходов произошло за счёт у</w:t>
      </w:r>
      <w:r w:rsidR="000C2F9D">
        <w:rPr>
          <w:sz w:val="28"/>
          <w:szCs w:val="28"/>
        </w:rPr>
        <w:t>меньшения</w:t>
      </w:r>
      <w:r w:rsidR="00D17721" w:rsidRPr="00280119">
        <w:rPr>
          <w:sz w:val="28"/>
          <w:szCs w:val="28"/>
        </w:rPr>
        <w:t xml:space="preserve"> </w:t>
      </w:r>
      <w:r w:rsidR="000C2F9D">
        <w:rPr>
          <w:sz w:val="28"/>
          <w:szCs w:val="28"/>
        </w:rPr>
        <w:t>поступления</w:t>
      </w:r>
      <w:r w:rsidR="00D17721" w:rsidRPr="00280119">
        <w:rPr>
          <w:sz w:val="28"/>
          <w:szCs w:val="28"/>
        </w:rPr>
        <w:t xml:space="preserve"> </w:t>
      </w:r>
      <w:r w:rsidR="000C2F9D">
        <w:rPr>
          <w:sz w:val="28"/>
          <w:szCs w:val="28"/>
        </w:rPr>
        <w:t>безвозмездных поступлений</w:t>
      </w:r>
      <w:r w:rsidR="00D17721" w:rsidRPr="00280119">
        <w:rPr>
          <w:sz w:val="28"/>
          <w:szCs w:val="28"/>
        </w:rPr>
        <w:t xml:space="preserve"> на сумму </w:t>
      </w:r>
      <w:r w:rsidR="000C2F9D">
        <w:rPr>
          <w:sz w:val="28"/>
          <w:szCs w:val="28"/>
        </w:rPr>
        <w:t>1299,5</w:t>
      </w:r>
      <w:r w:rsidR="00D17721" w:rsidRPr="00280119">
        <w:rPr>
          <w:sz w:val="28"/>
          <w:szCs w:val="28"/>
        </w:rPr>
        <w:t xml:space="preserve"> тыс. рублей</w:t>
      </w:r>
      <w:r w:rsidR="000C2F9D">
        <w:rPr>
          <w:sz w:val="28"/>
          <w:szCs w:val="28"/>
        </w:rPr>
        <w:t>.</w:t>
      </w:r>
      <w:r w:rsidR="007776A8">
        <w:rPr>
          <w:sz w:val="28"/>
          <w:szCs w:val="28"/>
        </w:rPr>
        <w:t xml:space="preserve"> </w:t>
      </w:r>
      <w:r w:rsidR="000C2F9D">
        <w:rPr>
          <w:sz w:val="28"/>
          <w:szCs w:val="28"/>
        </w:rPr>
        <w:t>Объём поступления собственных доходов увеличился на 342,3 тыс. рублей по сравнению с соответствующим периодом 2016 года. Увеличение произошло как по налоговым доходам (+341,6 тыс. рублей), так и по неналоговым поступлениям (+0,7 тыс. рублей).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  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</w:t>
      </w:r>
      <w:r w:rsidR="000C2F9D">
        <w:rPr>
          <w:sz w:val="28"/>
          <w:szCs w:val="28"/>
        </w:rPr>
        <w:t xml:space="preserve">   </w:t>
      </w:r>
      <w:r w:rsidRPr="00280119">
        <w:rPr>
          <w:sz w:val="28"/>
          <w:szCs w:val="28"/>
        </w:rPr>
        <w:t>Расходы бюд</w:t>
      </w:r>
      <w:r w:rsidR="00971DB2">
        <w:rPr>
          <w:sz w:val="28"/>
          <w:szCs w:val="28"/>
        </w:rPr>
        <w:t>жета сельского поселения на 2017</w:t>
      </w:r>
      <w:r w:rsidRPr="00280119">
        <w:rPr>
          <w:sz w:val="28"/>
          <w:szCs w:val="28"/>
        </w:rPr>
        <w:t xml:space="preserve"> год утверждены в сумме </w:t>
      </w:r>
      <w:r w:rsidR="00D4262E">
        <w:rPr>
          <w:sz w:val="28"/>
          <w:szCs w:val="28"/>
        </w:rPr>
        <w:t>18624,3</w:t>
      </w:r>
      <w:r w:rsidRPr="00280119">
        <w:rPr>
          <w:sz w:val="28"/>
          <w:szCs w:val="28"/>
        </w:rPr>
        <w:t xml:space="preserve"> тыс. рублей. Фактически кассовые ра</w:t>
      </w:r>
      <w:r w:rsidR="00971DB2">
        <w:rPr>
          <w:sz w:val="28"/>
          <w:szCs w:val="28"/>
        </w:rPr>
        <w:t>сходы за 1 полугодие 2017</w:t>
      </w:r>
      <w:r w:rsidRPr="00280119">
        <w:rPr>
          <w:sz w:val="28"/>
          <w:szCs w:val="28"/>
        </w:rPr>
        <w:t xml:space="preserve"> года составили </w:t>
      </w:r>
      <w:r w:rsidR="00D4262E">
        <w:rPr>
          <w:sz w:val="28"/>
          <w:szCs w:val="28"/>
        </w:rPr>
        <w:t>8071,7</w:t>
      </w:r>
      <w:r w:rsidRPr="00280119">
        <w:rPr>
          <w:sz w:val="28"/>
          <w:szCs w:val="28"/>
        </w:rPr>
        <w:t xml:space="preserve"> тыс. рублей, или </w:t>
      </w:r>
      <w:r w:rsidR="00D4262E">
        <w:rPr>
          <w:sz w:val="28"/>
          <w:szCs w:val="28"/>
        </w:rPr>
        <w:t>43,3</w:t>
      </w:r>
      <w:r w:rsidRPr="00280119">
        <w:rPr>
          <w:sz w:val="28"/>
          <w:szCs w:val="28"/>
        </w:rPr>
        <w:t xml:space="preserve"> % от плановых назначений на год. Структура расходов бюджета сельского поселения по разделам функциональной классификации представлена в таблице: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7245B" w:rsidP="00F7245B">
      <w:pPr>
        <w:tabs>
          <w:tab w:val="left" w:pos="7740"/>
        </w:tabs>
        <w:jc w:val="both"/>
        <w:rPr>
          <w:i/>
          <w:sz w:val="28"/>
          <w:szCs w:val="28"/>
        </w:rPr>
      </w:pPr>
      <w:r w:rsidRPr="00280119">
        <w:rPr>
          <w:sz w:val="28"/>
          <w:szCs w:val="28"/>
        </w:rPr>
        <w:tab/>
        <w:t xml:space="preserve">      </w:t>
      </w:r>
      <w:r w:rsidRPr="00280119">
        <w:rPr>
          <w:i/>
          <w:sz w:val="28"/>
          <w:szCs w:val="28"/>
        </w:rPr>
        <w:t>Таблица №3</w:t>
      </w:r>
    </w:p>
    <w:tbl>
      <w:tblPr>
        <w:tblW w:w="97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755"/>
        <w:gridCol w:w="1830"/>
        <w:gridCol w:w="1299"/>
      </w:tblGrid>
      <w:tr w:rsidR="00FB3F4B" w:rsidRPr="00280119" w:rsidTr="00565502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Плановые назначения на год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Фактическое исполнение за  6 месяцев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% исполнения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7455,0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4046,6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54,3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0200 Национальная оборона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8414C5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188,7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68,5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36,3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8414C5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8414C5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23,6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4774,0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390,9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1398,6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892,5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63,8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4478,7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2549,3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56,9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lastRenderedPageBreak/>
              <w:t>1000 Социальная политика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8414C5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279,2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112,1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40,2</w:t>
            </w:r>
          </w:p>
        </w:tc>
      </w:tr>
      <w:tr w:rsidR="00FB3F4B" w:rsidRPr="00280119" w:rsidTr="00565502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18624,3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8071,7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8414C5" w:rsidRDefault="00D4262E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43,3</w:t>
            </w:r>
          </w:p>
        </w:tc>
      </w:tr>
    </w:tbl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0100 «Общегосударственные вопросы» при плане </w:t>
      </w:r>
      <w:r w:rsidR="009611E7">
        <w:rPr>
          <w:sz w:val="28"/>
          <w:szCs w:val="28"/>
        </w:rPr>
        <w:t>7455,0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9611E7">
        <w:rPr>
          <w:sz w:val="28"/>
          <w:szCs w:val="28"/>
        </w:rPr>
        <w:t>4046,6</w:t>
      </w:r>
      <w:r w:rsidRPr="00280119">
        <w:rPr>
          <w:sz w:val="28"/>
          <w:szCs w:val="28"/>
        </w:rPr>
        <w:t xml:space="preserve"> тыс. рублей или </w:t>
      </w:r>
      <w:r w:rsidR="009611E7">
        <w:rPr>
          <w:sz w:val="28"/>
          <w:szCs w:val="28"/>
        </w:rPr>
        <w:t>54,3</w:t>
      </w:r>
      <w:r w:rsidR="009C7978" w:rsidRPr="00280119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>% от плановых назначений, в том числе по подразделам:</w:t>
      </w:r>
    </w:p>
    <w:p w:rsidR="0017108A" w:rsidRDefault="0017108A">
      <w:pPr>
        <w:jc w:val="both"/>
        <w:rPr>
          <w:sz w:val="28"/>
          <w:szCs w:val="28"/>
        </w:rPr>
      </w:pPr>
    </w:p>
    <w:p w:rsidR="0017108A" w:rsidRDefault="0017108A">
      <w:pPr>
        <w:jc w:val="both"/>
        <w:rPr>
          <w:sz w:val="28"/>
          <w:szCs w:val="28"/>
        </w:rPr>
      </w:pPr>
    </w:p>
    <w:p w:rsidR="00FB3F4B" w:rsidRPr="00280119" w:rsidRDefault="00171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при плане </w:t>
      </w:r>
      <w:r w:rsidR="00565502">
        <w:rPr>
          <w:sz w:val="28"/>
          <w:szCs w:val="28"/>
        </w:rPr>
        <w:t>907,9</w:t>
      </w:r>
      <w:r>
        <w:rPr>
          <w:sz w:val="28"/>
          <w:szCs w:val="28"/>
        </w:rPr>
        <w:t xml:space="preserve"> тыс. рублей исполнение составило </w:t>
      </w:r>
      <w:r w:rsidR="009611E7">
        <w:rPr>
          <w:sz w:val="28"/>
          <w:szCs w:val="28"/>
        </w:rPr>
        <w:t>389,2</w:t>
      </w:r>
      <w:r>
        <w:rPr>
          <w:sz w:val="28"/>
          <w:szCs w:val="28"/>
        </w:rPr>
        <w:t xml:space="preserve"> тыс. рублей или </w:t>
      </w:r>
      <w:r w:rsidR="009611E7">
        <w:rPr>
          <w:sz w:val="28"/>
          <w:szCs w:val="28"/>
        </w:rPr>
        <w:t xml:space="preserve">42,9 </w:t>
      </w:r>
      <w:r>
        <w:rPr>
          <w:sz w:val="28"/>
          <w:szCs w:val="28"/>
        </w:rPr>
        <w:t>%;</w:t>
      </w:r>
      <w:r w:rsidR="00FB3F4B" w:rsidRPr="00280119">
        <w:rPr>
          <w:sz w:val="28"/>
          <w:szCs w:val="28"/>
        </w:rPr>
        <w:t xml:space="preserve">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при плане  </w:t>
      </w:r>
      <w:r w:rsidR="009611E7">
        <w:rPr>
          <w:sz w:val="28"/>
          <w:szCs w:val="28"/>
        </w:rPr>
        <w:t>1995,8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9611E7">
        <w:rPr>
          <w:sz w:val="28"/>
          <w:szCs w:val="28"/>
        </w:rPr>
        <w:t>1185,6</w:t>
      </w:r>
      <w:r w:rsidRPr="00280119">
        <w:rPr>
          <w:sz w:val="28"/>
          <w:szCs w:val="28"/>
        </w:rPr>
        <w:t xml:space="preserve"> тыс. рублей или </w:t>
      </w:r>
      <w:r w:rsidR="009611E7">
        <w:rPr>
          <w:sz w:val="28"/>
          <w:szCs w:val="28"/>
        </w:rPr>
        <w:t>59,4</w:t>
      </w:r>
      <w:r w:rsidRPr="00280119">
        <w:rPr>
          <w:sz w:val="28"/>
          <w:szCs w:val="28"/>
        </w:rPr>
        <w:t xml:space="preserve"> % от плановых  назначений;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0111 </w:t>
      </w:r>
      <w:r w:rsidR="009C7978" w:rsidRPr="00280119">
        <w:rPr>
          <w:sz w:val="28"/>
          <w:szCs w:val="28"/>
        </w:rPr>
        <w:t xml:space="preserve">« Резервные фонды» при плане </w:t>
      </w:r>
      <w:r w:rsidR="009611E7">
        <w:rPr>
          <w:sz w:val="28"/>
          <w:szCs w:val="28"/>
        </w:rPr>
        <w:t>1,0</w:t>
      </w:r>
      <w:r w:rsidRPr="00280119">
        <w:rPr>
          <w:sz w:val="28"/>
          <w:szCs w:val="28"/>
        </w:rPr>
        <w:t xml:space="preserve"> тыс. рублей исполнение составило  0 %;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0113 «Другие общегосударственные вопросы»  при плане </w:t>
      </w:r>
      <w:r w:rsidR="009611E7">
        <w:rPr>
          <w:sz w:val="28"/>
          <w:szCs w:val="28"/>
        </w:rPr>
        <w:t>4550,4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9611E7">
        <w:rPr>
          <w:sz w:val="28"/>
          <w:szCs w:val="28"/>
        </w:rPr>
        <w:t>2471,8</w:t>
      </w:r>
      <w:r w:rsidRPr="00280119">
        <w:rPr>
          <w:sz w:val="28"/>
          <w:szCs w:val="28"/>
        </w:rPr>
        <w:t xml:space="preserve"> тыс. рублей или </w:t>
      </w:r>
      <w:r w:rsidR="00B71A9B">
        <w:rPr>
          <w:sz w:val="28"/>
          <w:szCs w:val="28"/>
        </w:rPr>
        <w:t>54,3</w:t>
      </w:r>
      <w:r w:rsidRPr="00280119">
        <w:rPr>
          <w:sz w:val="28"/>
          <w:szCs w:val="28"/>
        </w:rPr>
        <w:t xml:space="preserve"> % от плановых назначений; 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0200 «Национальная оборона» при плане </w:t>
      </w:r>
      <w:r w:rsidR="000060EC">
        <w:rPr>
          <w:sz w:val="28"/>
          <w:szCs w:val="28"/>
        </w:rPr>
        <w:t>188,7</w:t>
      </w:r>
      <w:r w:rsidR="009C7978" w:rsidRPr="00280119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 xml:space="preserve">тыс. рублей исполнение составило </w:t>
      </w:r>
      <w:r w:rsidR="00B71A9B">
        <w:rPr>
          <w:sz w:val="28"/>
          <w:szCs w:val="28"/>
        </w:rPr>
        <w:t>68,5</w:t>
      </w:r>
      <w:r w:rsidRPr="00280119">
        <w:rPr>
          <w:sz w:val="28"/>
          <w:szCs w:val="28"/>
        </w:rPr>
        <w:t xml:space="preserve"> тыс. рублей или </w:t>
      </w:r>
      <w:r w:rsidR="00B71A9B">
        <w:rPr>
          <w:sz w:val="28"/>
          <w:szCs w:val="28"/>
        </w:rPr>
        <w:t>36,3</w:t>
      </w:r>
      <w:r w:rsidRPr="00280119">
        <w:rPr>
          <w:sz w:val="28"/>
          <w:szCs w:val="28"/>
        </w:rPr>
        <w:t xml:space="preserve"> % от плановых назначений, в том числе по подразделу: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0203 «Мобилизационная и вневойсковая подготовка» при плане </w:t>
      </w:r>
      <w:r w:rsidR="000060EC">
        <w:rPr>
          <w:sz w:val="28"/>
          <w:szCs w:val="28"/>
        </w:rPr>
        <w:t>188,7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B71A9B">
        <w:rPr>
          <w:sz w:val="28"/>
          <w:szCs w:val="28"/>
        </w:rPr>
        <w:t>68,5</w:t>
      </w:r>
      <w:r w:rsidRPr="00280119">
        <w:rPr>
          <w:sz w:val="28"/>
          <w:szCs w:val="28"/>
        </w:rPr>
        <w:t xml:space="preserve"> тыс. рублей или </w:t>
      </w:r>
      <w:r w:rsidR="00B71A9B">
        <w:rPr>
          <w:sz w:val="28"/>
          <w:szCs w:val="28"/>
        </w:rPr>
        <w:t>36,3</w:t>
      </w:r>
      <w:r w:rsidRPr="00280119">
        <w:rPr>
          <w:sz w:val="28"/>
          <w:szCs w:val="28"/>
        </w:rPr>
        <w:t xml:space="preserve"> % от плановых назначений;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0300 «Национальная безопасность и правоохранительная деятельность» при плане </w:t>
      </w:r>
      <w:r w:rsidR="000060EC">
        <w:rPr>
          <w:sz w:val="28"/>
          <w:szCs w:val="28"/>
        </w:rPr>
        <w:t>50,0</w:t>
      </w:r>
      <w:r w:rsidRPr="00280119">
        <w:rPr>
          <w:sz w:val="28"/>
          <w:szCs w:val="28"/>
        </w:rPr>
        <w:t xml:space="preserve"> тыс. рублей  исполнение составило </w:t>
      </w:r>
      <w:r w:rsidR="000060EC">
        <w:rPr>
          <w:sz w:val="28"/>
          <w:szCs w:val="28"/>
        </w:rPr>
        <w:t>11,8</w:t>
      </w:r>
      <w:r w:rsidRPr="00280119">
        <w:rPr>
          <w:sz w:val="28"/>
          <w:szCs w:val="28"/>
        </w:rPr>
        <w:t xml:space="preserve"> тыс. рублей или </w:t>
      </w:r>
      <w:r w:rsidR="000060EC">
        <w:rPr>
          <w:sz w:val="28"/>
          <w:szCs w:val="28"/>
        </w:rPr>
        <w:t>23,6</w:t>
      </w:r>
      <w:r w:rsidR="007D4E91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 xml:space="preserve"> % от плановых назначений, в том числе по подразделам: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0309 «Защита населения и территории от последствий ЧС и природного и техногенного характера, гражданская оборона» при плане </w:t>
      </w:r>
      <w:r w:rsidR="000060EC">
        <w:rPr>
          <w:sz w:val="28"/>
          <w:szCs w:val="28"/>
        </w:rPr>
        <w:t>50,0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0060EC">
        <w:rPr>
          <w:sz w:val="28"/>
          <w:szCs w:val="28"/>
        </w:rPr>
        <w:t>11,8</w:t>
      </w:r>
      <w:r w:rsidRPr="00280119">
        <w:rPr>
          <w:sz w:val="28"/>
          <w:szCs w:val="28"/>
        </w:rPr>
        <w:t xml:space="preserve"> тыс. рублей или </w:t>
      </w:r>
      <w:r w:rsidR="000060EC">
        <w:rPr>
          <w:sz w:val="28"/>
          <w:szCs w:val="28"/>
        </w:rPr>
        <w:t>23,6</w:t>
      </w:r>
      <w:r w:rsidR="009A0808" w:rsidRPr="00280119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>% от плановых назначений;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0400 «Национальная экономика» при плане </w:t>
      </w:r>
      <w:r w:rsidR="00627024">
        <w:rPr>
          <w:sz w:val="28"/>
          <w:szCs w:val="28"/>
        </w:rPr>
        <w:t>4774,0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390,9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8,2</w:t>
      </w:r>
      <w:r w:rsidRPr="00280119">
        <w:rPr>
          <w:sz w:val="28"/>
          <w:szCs w:val="28"/>
        </w:rPr>
        <w:t xml:space="preserve"> % от плановых назначений, в том числе по подразделу:</w:t>
      </w:r>
    </w:p>
    <w:p w:rsidR="00FB3F4B" w:rsidRDefault="00FB3F4B">
      <w:pPr>
        <w:jc w:val="both"/>
        <w:rPr>
          <w:sz w:val="28"/>
          <w:szCs w:val="28"/>
        </w:rPr>
      </w:pPr>
    </w:p>
    <w:p w:rsidR="00131003" w:rsidRPr="00280119" w:rsidRDefault="00131003">
      <w:pPr>
        <w:jc w:val="both"/>
        <w:rPr>
          <w:sz w:val="28"/>
          <w:szCs w:val="28"/>
        </w:rPr>
      </w:pPr>
      <w:r>
        <w:rPr>
          <w:sz w:val="28"/>
          <w:szCs w:val="28"/>
        </w:rPr>
        <w:t>0405 «</w:t>
      </w:r>
      <w:r w:rsidR="00E87F21">
        <w:rPr>
          <w:sz w:val="28"/>
          <w:szCs w:val="28"/>
        </w:rPr>
        <w:t xml:space="preserve">Сельское хозяйство и рыболовство»  при плане </w:t>
      </w:r>
      <w:r w:rsidR="00627024">
        <w:rPr>
          <w:sz w:val="28"/>
          <w:szCs w:val="28"/>
        </w:rPr>
        <w:t>1554,5</w:t>
      </w:r>
      <w:r w:rsidR="00E87F21">
        <w:rPr>
          <w:sz w:val="28"/>
          <w:szCs w:val="28"/>
        </w:rPr>
        <w:t xml:space="preserve"> тыс. рублей исполнение составило 0 %; </w:t>
      </w:r>
    </w:p>
    <w:p w:rsidR="009A0808" w:rsidRDefault="009A0808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lastRenderedPageBreak/>
        <w:t xml:space="preserve">0409 «Дорожное хозяйство (дорожные фонды)» при плане </w:t>
      </w:r>
      <w:r w:rsidR="00E87F21">
        <w:rPr>
          <w:sz w:val="28"/>
          <w:szCs w:val="28"/>
        </w:rPr>
        <w:t>3209,5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380,9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11,9</w:t>
      </w:r>
      <w:r w:rsidRPr="00280119">
        <w:rPr>
          <w:sz w:val="28"/>
          <w:szCs w:val="28"/>
        </w:rPr>
        <w:t xml:space="preserve"> %;</w:t>
      </w:r>
    </w:p>
    <w:p w:rsidR="00E87F21" w:rsidRPr="00280119" w:rsidRDefault="00E87F21">
      <w:pPr>
        <w:jc w:val="both"/>
        <w:rPr>
          <w:sz w:val="28"/>
          <w:szCs w:val="28"/>
        </w:rPr>
      </w:pPr>
      <w:r>
        <w:rPr>
          <w:sz w:val="28"/>
          <w:szCs w:val="28"/>
        </w:rPr>
        <w:t>0412 «Другие вопросы в области национальной экономики» при плане 10,0 тыс. рублей исполнение составило 100 %;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0500 «Жилищно-коммунальное хозяйство» при плане </w:t>
      </w:r>
      <w:r w:rsidR="00627024">
        <w:rPr>
          <w:sz w:val="28"/>
          <w:szCs w:val="28"/>
        </w:rPr>
        <w:t>1398,6</w:t>
      </w:r>
      <w:r w:rsidRPr="00280119">
        <w:rPr>
          <w:sz w:val="28"/>
          <w:szCs w:val="28"/>
        </w:rPr>
        <w:t xml:space="preserve"> тыс. рублей, исполнение составило </w:t>
      </w:r>
      <w:r w:rsidR="00627024">
        <w:rPr>
          <w:sz w:val="28"/>
          <w:szCs w:val="28"/>
        </w:rPr>
        <w:t>892,5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63,8</w:t>
      </w:r>
      <w:r w:rsidRPr="00280119">
        <w:rPr>
          <w:sz w:val="28"/>
          <w:szCs w:val="28"/>
        </w:rPr>
        <w:t xml:space="preserve"> % от плановых назначений, в том числе по подразделам: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554745" w:rsidRPr="00280119" w:rsidRDefault="00554745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0501 «Жилищное хозяйство» при плане </w:t>
      </w:r>
      <w:r w:rsidR="00627024">
        <w:rPr>
          <w:sz w:val="28"/>
          <w:szCs w:val="28"/>
        </w:rPr>
        <w:t>28,0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100</w:t>
      </w:r>
      <w:r w:rsidRPr="00280119">
        <w:rPr>
          <w:sz w:val="28"/>
          <w:szCs w:val="28"/>
        </w:rPr>
        <w:t xml:space="preserve"> %;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0502 «Коммунальное хозяйство»  при плане </w:t>
      </w:r>
      <w:r w:rsidR="00627024">
        <w:rPr>
          <w:sz w:val="28"/>
          <w:szCs w:val="28"/>
        </w:rPr>
        <w:t>1020,6</w:t>
      </w:r>
      <w:r w:rsidR="00D06337">
        <w:rPr>
          <w:sz w:val="28"/>
          <w:szCs w:val="28"/>
        </w:rPr>
        <w:t xml:space="preserve"> тыс. рублей</w:t>
      </w:r>
      <w:r w:rsidRPr="00280119">
        <w:rPr>
          <w:sz w:val="28"/>
          <w:szCs w:val="28"/>
        </w:rPr>
        <w:t xml:space="preserve"> исполнение составило </w:t>
      </w:r>
      <w:r w:rsidR="00627024">
        <w:rPr>
          <w:sz w:val="28"/>
          <w:szCs w:val="28"/>
        </w:rPr>
        <w:t>517,6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50,7</w:t>
      </w:r>
      <w:r w:rsidRPr="00280119">
        <w:rPr>
          <w:sz w:val="28"/>
          <w:szCs w:val="28"/>
        </w:rPr>
        <w:t xml:space="preserve"> % от плановых назначений;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0503 «Благоустройство» при плане </w:t>
      </w:r>
      <w:r w:rsidR="00627024">
        <w:rPr>
          <w:sz w:val="28"/>
          <w:szCs w:val="28"/>
        </w:rPr>
        <w:t>350,0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347,0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99,1</w:t>
      </w:r>
      <w:r w:rsidRPr="00280119">
        <w:rPr>
          <w:sz w:val="28"/>
          <w:szCs w:val="28"/>
        </w:rPr>
        <w:t xml:space="preserve"> % от плановых назначений.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0800 «Культура и кинематография» при плане </w:t>
      </w:r>
      <w:r w:rsidR="00627024">
        <w:rPr>
          <w:sz w:val="28"/>
          <w:szCs w:val="28"/>
        </w:rPr>
        <w:t>4478,7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2549,3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56,9</w:t>
      </w:r>
      <w:r w:rsidRPr="00280119">
        <w:rPr>
          <w:sz w:val="28"/>
          <w:szCs w:val="28"/>
        </w:rPr>
        <w:t xml:space="preserve"> % от плановых назначений, в том числе по подразделам: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0801 «Культура» при  плане  </w:t>
      </w:r>
      <w:r w:rsidR="00627024">
        <w:rPr>
          <w:sz w:val="28"/>
          <w:szCs w:val="28"/>
        </w:rPr>
        <w:t>4478,7</w:t>
      </w:r>
      <w:r w:rsidRPr="00280119">
        <w:rPr>
          <w:sz w:val="28"/>
          <w:szCs w:val="28"/>
        </w:rPr>
        <w:t xml:space="preserve"> тыс. рублей  исполнение составило </w:t>
      </w:r>
      <w:r w:rsidR="00627024">
        <w:rPr>
          <w:sz w:val="28"/>
          <w:szCs w:val="28"/>
        </w:rPr>
        <w:t>2549,3</w:t>
      </w:r>
      <w:r w:rsidRPr="00280119">
        <w:rPr>
          <w:sz w:val="28"/>
          <w:szCs w:val="28"/>
        </w:rPr>
        <w:t xml:space="preserve"> тыс. рублей или </w:t>
      </w:r>
      <w:r w:rsidR="00627024">
        <w:rPr>
          <w:sz w:val="28"/>
          <w:szCs w:val="28"/>
        </w:rPr>
        <w:t>56,9</w:t>
      </w:r>
      <w:r w:rsidRPr="00280119">
        <w:rPr>
          <w:sz w:val="28"/>
          <w:szCs w:val="28"/>
        </w:rPr>
        <w:t xml:space="preserve"> % от плановых назначений;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По разделу 1000 « Социальная политика» при плане </w:t>
      </w:r>
      <w:r w:rsidR="00B94033">
        <w:rPr>
          <w:sz w:val="28"/>
          <w:szCs w:val="28"/>
        </w:rPr>
        <w:t>279,2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112,1</w:t>
      </w:r>
      <w:r w:rsidR="0092492D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 xml:space="preserve">тыс. рублей или </w:t>
      </w:r>
      <w:r w:rsidR="00627024">
        <w:rPr>
          <w:sz w:val="28"/>
          <w:szCs w:val="28"/>
        </w:rPr>
        <w:t>40,2</w:t>
      </w:r>
      <w:r w:rsidRPr="00280119">
        <w:rPr>
          <w:sz w:val="28"/>
          <w:szCs w:val="28"/>
        </w:rPr>
        <w:t xml:space="preserve"> %, в том числе по подразделам: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1001 «Пенсионное обеспечение» при плане </w:t>
      </w:r>
      <w:r w:rsidR="00382D35">
        <w:rPr>
          <w:sz w:val="28"/>
          <w:szCs w:val="28"/>
        </w:rPr>
        <w:t>279,2</w:t>
      </w:r>
      <w:r w:rsidRPr="00280119">
        <w:rPr>
          <w:sz w:val="28"/>
          <w:szCs w:val="28"/>
        </w:rPr>
        <w:t xml:space="preserve"> тыс. рублей исполнение составило </w:t>
      </w:r>
      <w:r w:rsidR="00627024">
        <w:rPr>
          <w:sz w:val="28"/>
          <w:szCs w:val="28"/>
        </w:rPr>
        <w:t>112,1</w:t>
      </w:r>
      <w:r w:rsidR="00842D49" w:rsidRPr="00280119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 xml:space="preserve">тыс. рублей или </w:t>
      </w:r>
      <w:r w:rsidR="00627024">
        <w:rPr>
          <w:sz w:val="28"/>
          <w:szCs w:val="28"/>
        </w:rPr>
        <w:t xml:space="preserve">40,2 </w:t>
      </w:r>
      <w:r w:rsidRPr="00280119">
        <w:rPr>
          <w:sz w:val="28"/>
          <w:szCs w:val="28"/>
        </w:rPr>
        <w:t>% от плановых назначений;</w:t>
      </w:r>
    </w:p>
    <w:p w:rsidR="00842D49" w:rsidRPr="00280119" w:rsidRDefault="00842D49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</w:t>
      </w:r>
      <w:r w:rsidR="00BC365C">
        <w:rPr>
          <w:sz w:val="28"/>
          <w:szCs w:val="28"/>
        </w:rPr>
        <w:t xml:space="preserve"> </w:t>
      </w:r>
      <w:r w:rsidRPr="00280119">
        <w:rPr>
          <w:sz w:val="28"/>
          <w:szCs w:val="28"/>
        </w:rPr>
        <w:t xml:space="preserve">Сравнительный анализ </w:t>
      </w:r>
      <w:r w:rsidR="00842D49" w:rsidRPr="00280119">
        <w:rPr>
          <w:sz w:val="28"/>
          <w:szCs w:val="28"/>
        </w:rPr>
        <w:t>расходов бюджета сельского поселения</w:t>
      </w:r>
      <w:r w:rsidR="00382D35">
        <w:rPr>
          <w:sz w:val="28"/>
          <w:szCs w:val="28"/>
        </w:rPr>
        <w:t xml:space="preserve"> с соответствующим периодом 2016</w:t>
      </w:r>
      <w:r w:rsidR="00842D49" w:rsidRPr="00280119">
        <w:rPr>
          <w:sz w:val="28"/>
          <w:szCs w:val="28"/>
        </w:rPr>
        <w:t xml:space="preserve"> года представлен в таблице</w:t>
      </w:r>
      <w:r w:rsidR="00DC74AC" w:rsidRPr="00280119">
        <w:rPr>
          <w:sz w:val="28"/>
          <w:szCs w:val="28"/>
        </w:rPr>
        <w:t>: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 w:rsidP="00DC74AC">
      <w:pPr>
        <w:tabs>
          <w:tab w:val="left" w:pos="7905"/>
        </w:tabs>
        <w:jc w:val="both"/>
        <w:rPr>
          <w:i/>
          <w:sz w:val="28"/>
          <w:szCs w:val="28"/>
        </w:rPr>
      </w:pPr>
      <w:r w:rsidRPr="00280119">
        <w:rPr>
          <w:sz w:val="28"/>
          <w:szCs w:val="28"/>
        </w:rPr>
        <w:t xml:space="preserve">                           </w:t>
      </w:r>
      <w:r w:rsidR="00DC74AC" w:rsidRPr="00280119">
        <w:rPr>
          <w:sz w:val="28"/>
          <w:szCs w:val="28"/>
        </w:rPr>
        <w:tab/>
      </w:r>
      <w:r w:rsidR="00DC74AC" w:rsidRPr="00280119">
        <w:rPr>
          <w:i/>
          <w:sz w:val="28"/>
          <w:szCs w:val="28"/>
        </w:rPr>
        <w:t>Таблица №4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1710"/>
        <w:gridCol w:w="1755"/>
        <w:gridCol w:w="1658"/>
      </w:tblGrid>
      <w:tr w:rsidR="00FB3F4B" w:rsidRPr="00BC365C"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BC365C" w:rsidRDefault="00FB3F4B">
            <w:pPr>
              <w:pStyle w:val="a6"/>
              <w:jc w:val="center"/>
              <w:rPr>
                <w:b/>
              </w:rPr>
            </w:pPr>
            <w:r w:rsidRPr="00BC365C">
              <w:rPr>
                <w:b/>
              </w:rPr>
              <w:t>Наименование показателей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BC365C" w:rsidRDefault="00FB3F4B">
            <w:pPr>
              <w:pStyle w:val="a6"/>
              <w:jc w:val="center"/>
              <w:rPr>
                <w:b/>
              </w:rPr>
            </w:pPr>
            <w:r w:rsidRPr="00BC365C">
              <w:rPr>
                <w:b/>
              </w:rPr>
              <w:t>Фактич</w:t>
            </w:r>
            <w:r w:rsidR="00DC74AC" w:rsidRPr="00BC365C">
              <w:rPr>
                <w:b/>
              </w:rPr>
              <w:t xml:space="preserve">ески исполнено  </w:t>
            </w:r>
            <w:r w:rsidR="00382D35">
              <w:rPr>
                <w:b/>
              </w:rPr>
              <w:t xml:space="preserve">за 1 </w:t>
            </w:r>
            <w:proofErr w:type="spellStart"/>
            <w:r w:rsidR="00382D35">
              <w:rPr>
                <w:b/>
              </w:rPr>
              <w:t>полуг</w:t>
            </w:r>
            <w:proofErr w:type="spellEnd"/>
            <w:r w:rsidR="00382D35">
              <w:rPr>
                <w:b/>
              </w:rPr>
              <w:t>. 2016</w:t>
            </w:r>
            <w:r w:rsidRPr="00BC365C">
              <w:rPr>
                <w:b/>
              </w:rPr>
              <w:t xml:space="preserve"> г.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BC365C" w:rsidRDefault="00FB3F4B">
            <w:pPr>
              <w:pStyle w:val="a6"/>
              <w:jc w:val="center"/>
              <w:rPr>
                <w:b/>
              </w:rPr>
            </w:pPr>
            <w:r w:rsidRPr="00BC365C">
              <w:rPr>
                <w:b/>
              </w:rPr>
              <w:t>Фактич</w:t>
            </w:r>
            <w:r w:rsidR="00382D35">
              <w:rPr>
                <w:b/>
              </w:rPr>
              <w:t xml:space="preserve">ески исполнено  за 1 </w:t>
            </w:r>
            <w:proofErr w:type="spellStart"/>
            <w:r w:rsidR="00382D35">
              <w:rPr>
                <w:b/>
              </w:rPr>
              <w:t>полуг</w:t>
            </w:r>
            <w:proofErr w:type="spellEnd"/>
            <w:r w:rsidR="00382D35">
              <w:rPr>
                <w:b/>
              </w:rPr>
              <w:t>. 2017</w:t>
            </w:r>
            <w:r w:rsidRPr="00BC365C">
              <w:rPr>
                <w:b/>
              </w:rPr>
              <w:t xml:space="preserve"> г.</w:t>
            </w:r>
          </w:p>
        </w:tc>
        <w:tc>
          <w:tcPr>
            <w:tcW w:w="1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BC365C" w:rsidRDefault="00FB3F4B">
            <w:pPr>
              <w:pStyle w:val="a6"/>
              <w:jc w:val="center"/>
              <w:rPr>
                <w:b/>
              </w:rPr>
            </w:pPr>
            <w:r w:rsidRPr="00BC365C">
              <w:rPr>
                <w:b/>
              </w:rPr>
              <w:t>Разница</w:t>
            </w:r>
          </w:p>
          <w:p w:rsidR="00FB3F4B" w:rsidRPr="00BC365C" w:rsidRDefault="00FB3F4B">
            <w:pPr>
              <w:pStyle w:val="a6"/>
              <w:jc w:val="center"/>
              <w:rPr>
                <w:b/>
                <w:bCs/>
              </w:rPr>
            </w:pPr>
            <w:r w:rsidRPr="00BC365C">
              <w:rPr>
                <w:b/>
              </w:rPr>
              <w:t>( +)  ( - )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0100 </w:t>
            </w:r>
            <w:r w:rsidRPr="00BC365C">
              <w:t>« Общегосударственные вопросы»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3889,9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4046,6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+156,7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0200 </w:t>
            </w:r>
            <w:r w:rsidRPr="00BC365C">
              <w:t>«Национальная оборона»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68,5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+14,2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0300 </w:t>
            </w:r>
            <w:r w:rsidRPr="00BC365C">
              <w:t>«Национальная безопасность и правоохранительная деятельность»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248,5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-236,7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0400 </w:t>
            </w:r>
            <w:r w:rsidRPr="00BC365C">
              <w:t>«Национальная экономика»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679,8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390,9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-288,9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0500 </w:t>
            </w:r>
            <w:r w:rsidRPr="00BC365C">
              <w:t>Жилищно-коммунальное хозяйство»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1453,7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892,5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-561,2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lastRenderedPageBreak/>
              <w:t xml:space="preserve">0800  </w:t>
            </w:r>
            <w:r w:rsidRPr="00BC365C">
              <w:t>«Культура и кинематография»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2889,9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E95072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2549,</w:t>
            </w:r>
            <w:r w:rsidR="00421F9B">
              <w:rPr>
                <w:b/>
                <w:i/>
              </w:rPr>
              <w:t>3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-340,6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jc w:val="both"/>
            </w:pPr>
            <w:r w:rsidRPr="00BC365C">
              <w:rPr>
                <w:b/>
                <w:bCs/>
              </w:rPr>
              <w:t xml:space="preserve">1000 </w:t>
            </w:r>
            <w:r w:rsidRPr="00BC365C">
              <w:t>« Социальная политика»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122,4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421F9B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112,1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>
            <w:pPr>
              <w:pStyle w:val="a6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-10,3</w:t>
            </w:r>
          </w:p>
        </w:tc>
      </w:tr>
      <w:tr w:rsidR="001B76A7" w:rsidRPr="00280119"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BC365C" w:rsidRDefault="001B76A7">
            <w:pPr>
              <w:pStyle w:val="a6"/>
              <w:snapToGrid w:val="0"/>
              <w:jc w:val="both"/>
            </w:pPr>
            <w:r w:rsidRPr="00BC365C">
              <w:rPr>
                <w:b/>
                <w:bCs/>
              </w:rPr>
              <w:t>Всего расходов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382D35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9338,5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6A7" w:rsidRPr="00382D35" w:rsidRDefault="00421F9B" w:rsidP="00FB3F4B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8071,7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6A7" w:rsidRPr="00382D35" w:rsidRDefault="00421F9B" w:rsidP="00216088">
            <w:pPr>
              <w:pStyle w:val="a6"/>
              <w:tabs>
                <w:tab w:val="left" w:pos="285"/>
                <w:tab w:val="center" w:pos="77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-1266,8</w:t>
            </w:r>
          </w:p>
        </w:tc>
      </w:tr>
    </w:tbl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   </w:t>
      </w:r>
      <w:r w:rsidR="001B76A7" w:rsidRPr="00280119">
        <w:rPr>
          <w:sz w:val="28"/>
          <w:szCs w:val="28"/>
        </w:rPr>
        <w:t>В целом по расходам бюджет сельского поселения у</w:t>
      </w:r>
      <w:r w:rsidR="00BD0631">
        <w:rPr>
          <w:sz w:val="28"/>
          <w:szCs w:val="28"/>
        </w:rPr>
        <w:t>меньшился</w:t>
      </w:r>
      <w:r w:rsidR="001B76A7" w:rsidRPr="00280119">
        <w:rPr>
          <w:sz w:val="28"/>
          <w:szCs w:val="28"/>
        </w:rPr>
        <w:t xml:space="preserve"> на </w:t>
      </w:r>
      <w:r w:rsidR="00BD0631">
        <w:rPr>
          <w:sz w:val="28"/>
          <w:szCs w:val="28"/>
        </w:rPr>
        <w:t>1266,8</w:t>
      </w:r>
      <w:r w:rsidR="001B76A7" w:rsidRPr="00280119">
        <w:rPr>
          <w:sz w:val="28"/>
          <w:szCs w:val="28"/>
        </w:rPr>
        <w:t xml:space="preserve"> тыс. рублей</w:t>
      </w:r>
      <w:r w:rsidR="00AF0B49" w:rsidRPr="00280119">
        <w:rPr>
          <w:sz w:val="28"/>
          <w:szCs w:val="28"/>
        </w:rPr>
        <w:t>, по сравнению</w:t>
      </w:r>
      <w:r w:rsidR="00BD0631">
        <w:rPr>
          <w:sz w:val="28"/>
          <w:szCs w:val="28"/>
        </w:rPr>
        <w:t xml:space="preserve"> с соответствующим периодом 2017</w:t>
      </w:r>
      <w:r w:rsidR="00AF0B49" w:rsidRPr="00280119">
        <w:rPr>
          <w:sz w:val="28"/>
          <w:szCs w:val="28"/>
        </w:rPr>
        <w:t xml:space="preserve"> года. У</w:t>
      </w:r>
      <w:r w:rsidR="00BD0631">
        <w:rPr>
          <w:sz w:val="28"/>
          <w:szCs w:val="28"/>
        </w:rPr>
        <w:t>меньшение</w:t>
      </w:r>
      <w:r w:rsidR="00AF0B49" w:rsidRPr="00280119">
        <w:rPr>
          <w:sz w:val="28"/>
          <w:szCs w:val="28"/>
        </w:rPr>
        <w:t xml:space="preserve"> расходов произошло  за счёт следующих разделов бюджетной классификации: «Национальная безопасность и правоохранительная деятельность» </w:t>
      </w:r>
      <w:r w:rsidR="00BD0631">
        <w:rPr>
          <w:sz w:val="28"/>
          <w:szCs w:val="28"/>
        </w:rPr>
        <w:t>-236,7</w:t>
      </w:r>
      <w:r w:rsidR="00AF0B49" w:rsidRPr="00280119">
        <w:rPr>
          <w:sz w:val="28"/>
          <w:szCs w:val="28"/>
        </w:rPr>
        <w:t xml:space="preserve"> тыс. рублей, </w:t>
      </w:r>
      <w:r w:rsidR="00BC365C">
        <w:rPr>
          <w:sz w:val="28"/>
          <w:szCs w:val="28"/>
        </w:rPr>
        <w:t>«</w:t>
      </w:r>
      <w:r w:rsidR="00216088">
        <w:rPr>
          <w:sz w:val="28"/>
          <w:szCs w:val="28"/>
        </w:rPr>
        <w:t>Национальная экономика</w:t>
      </w:r>
      <w:r w:rsidR="00BC365C">
        <w:rPr>
          <w:sz w:val="28"/>
          <w:szCs w:val="28"/>
        </w:rPr>
        <w:t xml:space="preserve">» </w:t>
      </w:r>
      <w:r w:rsidR="00BD0631">
        <w:rPr>
          <w:sz w:val="28"/>
          <w:szCs w:val="28"/>
        </w:rPr>
        <w:t>-288,9</w:t>
      </w:r>
      <w:r w:rsidR="00BC365C">
        <w:rPr>
          <w:sz w:val="28"/>
          <w:szCs w:val="28"/>
        </w:rPr>
        <w:t xml:space="preserve"> тыс. рублей,</w:t>
      </w:r>
      <w:r w:rsidR="00BD0631">
        <w:rPr>
          <w:sz w:val="28"/>
          <w:szCs w:val="28"/>
        </w:rPr>
        <w:t xml:space="preserve"> «Жилищно-коммунальное хозяйство» -561,2 тыс. рублей,</w:t>
      </w:r>
      <w:r w:rsidR="00BC365C">
        <w:rPr>
          <w:sz w:val="28"/>
          <w:szCs w:val="28"/>
        </w:rPr>
        <w:t xml:space="preserve"> </w:t>
      </w:r>
      <w:r w:rsidR="00AF0B49" w:rsidRPr="00280119">
        <w:rPr>
          <w:sz w:val="28"/>
          <w:szCs w:val="28"/>
        </w:rPr>
        <w:t xml:space="preserve">«Культура, кинематография» </w:t>
      </w:r>
      <w:r w:rsidR="00BD0631">
        <w:rPr>
          <w:sz w:val="28"/>
          <w:szCs w:val="28"/>
        </w:rPr>
        <w:t>-340,6</w:t>
      </w:r>
      <w:r w:rsidR="00216088">
        <w:rPr>
          <w:sz w:val="28"/>
          <w:szCs w:val="28"/>
        </w:rPr>
        <w:t xml:space="preserve"> тыс. рублей, «Социальная политика» </w:t>
      </w:r>
      <w:r w:rsidR="00BD0631">
        <w:rPr>
          <w:sz w:val="28"/>
          <w:szCs w:val="28"/>
        </w:rPr>
        <w:t xml:space="preserve">-10,3 </w:t>
      </w:r>
      <w:r w:rsidR="00216088">
        <w:rPr>
          <w:sz w:val="28"/>
          <w:szCs w:val="28"/>
        </w:rPr>
        <w:t>тыс. рублей.</w:t>
      </w:r>
      <w:r w:rsidR="00AF0B49" w:rsidRPr="00280119">
        <w:rPr>
          <w:sz w:val="28"/>
          <w:szCs w:val="28"/>
        </w:rPr>
        <w:t xml:space="preserve"> По остальным разделам произошло у</w:t>
      </w:r>
      <w:r w:rsidR="00BD0631">
        <w:rPr>
          <w:sz w:val="28"/>
          <w:szCs w:val="28"/>
        </w:rPr>
        <w:t>величение</w:t>
      </w:r>
      <w:r w:rsidR="00AF0B49" w:rsidRPr="00280119">
        <w:rPr>
          <w:sz w:val="28"/>
          <w:szCs w:val="28"/>
        </w:rPr>
        <w:t xml:space="preserve"> расходов.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 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За 1 полугодие текущего года </w:t>
      </w:r>
      <w:r w:rsidR="00663DDE">
        <w:rPr>
          <w:sz w:val="28"/>
          <w:szCs w:val="28"/>
        </w:rPr>
        <w:t>профицит</w:t>
      </w:r>
      <w:r w:rsidRPr="00280119">
        <w:rPr>
          <w:sz w:val="28"/>
          <w:szCs w:val="28"/>
        </w:rPr>
        <w:t xml:space="preserve"> бюджета сельского поселения составил </w:t>
      </w:r>
      <w:r w:rsidR="007B45C3">
        <w:rPr>
          <w:sz w:val="28"/>
          <w:szCs w:val="28"/>
        </w:rPr>
        <w:t>742,5</w:t>
      </w:r>
      <w:r w:rsidRPr="00280119">
        <w:rPr>
          <w:sz w:val="28"/>
          <w:szCs w:val="28"/>
        </w:rPr>
        <w:t xml:space="preserve"> тыс. рублей.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Данные о привлечении источников финансирования дефицита бюджета сельского поселения приведены в таблице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7B45C3" w:rsidRDefault="007B45C3" w:rsidP="007B45C3">
      <w:pPr>
        <w:tabs>
          <w:tab w:val="left" w:pos="72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>Таблица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1545"/>
        <w:gridCol w:w="1520"/>
      </w:tblGrid>
      <w:tr w:rsidR="00FB3F4B" w:rsidRPr="00280119"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Плановые назначения</w:t>
            </w: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Исполнено</w:t>
            </w:r>
          </w:p>
        </w:tc>
      </w:tr>
      <w:tr w:rsidR="00FB3F4B" w:rsidRPr="00280119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Источники финансирования дефицита бюджета Всего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7025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898,1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67025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-742,5</w:t>
            </w:r>
          </w:p>
        </w:tc>
      </w:tr>
      <w:tr w:rsidR="00FB3F4B" w:rsidRPr="00280119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Получение кредитов от кредитных организаций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7025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-</w:t>
            </w:r>
          </w:p>
        </w:tc>
      </w:tr>
      <w:tr w:rsidR="00FB3F4B" w:rsidRPr="00280119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63DD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-</w:t>
            </w:r>
          </w:p>
        </w:tc>
      </w:tr>
      <w:tr w:rsidR="00FB3F4B" w:rsidRPr="00280119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both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4B" w:rsidRPr="00280119" w:rsidRDefault="0067025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4B" w:rsidRPr="00280119" w:rsidRDefault="00FB3F4B">
            <w:pPr>
              <w:pStyle w:val="a6"/>
              <w:jc w:val="center"/>
              <w:rPr>
                <w:sz w:val="28"/>
                <w:szCs w:val="28"/>
              </w:rPr>
            </w:pPr>
            <w:r w:rsidRPr="00280119">
              <w:rPr>
                <w:sz w:val="28"/>
                <w:szCs w:val="28"/>
              </w:rPr>
              <w:t>-</w:t>
            </w:r>
            <w:r w:rsidR="0067025B">
              <w:rPr>
                <w:sz w:val="28"/>
                <w:szCs w:val="28"/>
              </w:rPr>
              <w:t>742,5</w:t>
            </w:r>
          </w:p>
        </w:tc>
      </w:tr>
    </w:tbl>
    <w:p w:rsidR="00FB3F4B" w:rsidRPr="00280119" w:rsidRDefault="00FB3F4B">
      <w:pPr>
        <w:jc w:val="both"/>
        <w:rPr>
          <w:sz w:val="28"/>
          <w:szCs w:val="28"/>
        </w:rPr>
      </w:pPr>
    </w:p>
    <w:p w:rsidR="00FB3F4B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     </w:t>
      </w:r>
    </w:p>
    <w:p w:rsidR="00663DDE" w:rsidRDefault="00663DDE">
      <w:pPr>
        <w:jc w:val="both"/>
        <w:rPr>
          <w:sz w:val="28"/>
          <w:szCs w:val="28"/>
        </w:rPr>
      </w:pPr>
    </w:p>
    <w:p w:rsidR="00663DDE" w:rsidRPr="00280119" w:rsidRDefault="0066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Проанализировав отчёт об исполнении бюджета Дмитриевского сельского поселения за 1 полугодие 2016 года, Контрольно-счётный орган Галичского муниципального района рекомендует администрации Дмитриевского сельского поселения </w:t>
      </w:r>
      <w:r w:rsidR="0067025B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 работу по мобилизации </w:t>
      </w:r>
      <w:r w:rsidR="0067025B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доходов в бюджет сельского поселения. </w:t>
      </w: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FB3F4B">
      <w:pPr>
        <w:jc w:val="both"/>
        <w:rPr>
          <w:sz w:val="28"/>
          <w:szCs w:val="28"/>
        </w:rPr>
      </w:pPr>
    </w:p>
    <w:p w:rsidR="00FB3F4B" w:rsidRPr="00280119" w:rsidRDefault="00670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3F4B" w:rsidRPr="00280119">
        <w:rPr>
          <w:sz w:val="28"/>
          <w:szCs w:val="28"/>
        </w:rPr>
        <w:t xml:space="preserve">Председатель </w:t>
      </w:r>
    </w:p>
    <w:p w:rsidR="00FB3F4B" w:rsidRPr="00280119" w:rsidRDefault="00FB3F4B">
      <w:pPr>
        <w:jc w:val="both"/>
        <w:rPr>
          <w:sz w:val="28"/>
          <w:szCs w:val="28"/>
        </w:rPr>
      </w:pPr>
      <w:r w:rsidRPr="00280119">
        <w:rPr>
          <w:sz w:val="28"/>
          <w:szCs w:val="28"/>
        </w:rPr>
        <w:t xml:space="preserve">  Контрольно-счётного органа      </w:t>
      </w:r>
      <w:r w:rsidR="00663DDE">
        <w:rPr>
          <w:sz w:val="28"/>
          <w:szCs w:val="28"/>
        </w:rPr>
        <w:t xml:space="preserve">                                             </w:t>
      </w:r>
    </w:p>
    <w:sectPr w:rsidR="00FB3F4B" w:rsidRPr="00280119" w:rsidSect="009C35A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471C"/>
    <w:rsid w:val="000060EC"/>
    <w:rsid w:val="000106C8"/>
    <w:rsid w:val="00032239"/>
    <w:rsid w:val="0009531D"/>
    <w:rsid w:val="000C2F9D"/>
    <w:rsid w:val="00131003"/>
    <w:rsid w:val="0017108A"/>
    <w:rsid w:val="0019220C"/>
    <w:rsid w:val="001B76A7"/>
    <w:rsid w:val="001D5083"/>
    <w:rsid w:val="00216088"/>
    <w:rsid w:val="00235B27"/>
    <w:rsid w:val="00264D20"/>
    <w:rsid w:val="00280119"/>
    <w:rsid w:val="00284A43"/>
    <w:rsid w:val="002F4841"/>
    <w:rsid w:val="00315250"/>
    <w:rsid w:val="00382D35"/>
    <w:rsid w:val="003E0071"/>
    <w:rsid w:val="00421F9B"/>
    <w:rsid w:val="00432BAB"/>
    <w:rsid w:val="0047471C"/>
    <w:rsid w:val="00533EC2"/>
    <w:rsid w:val="00544706"/>
    <w:rsid w:val="00554745"/>
    <w:rsid w:val="00565502"/>
    <w:rsid w:val="00627024"/>
    <w:rsid w:val="00640884"/>
    <w:rsid w:val="00663DDE"/>
    <w:rsid w:val="0067025B"/>
    <w:rsid w:val="006F6FF5"/>
    <w:rsid w:val="00707217"/>
    <w:rsid w:val="0075228F"/>
    <w:rsid w:val="00762177"/>
    <w:rsid w:val="00767CB3"/>
    <w:rsid w:val="007776A8"/>
    <w:rsid w:val="007B45C3"/>
    <w:rsid w:val="007D4E91"/>
    <w:rsid w:val="007E0146"/>
    <w:rsid w:val="007F65E7"/>
    <w:rsid w:val="008414C5"/>
    <w:rsid w:val="00842D49"/>
    <w:rsid w:val="008D3E2D"/>
    <w:rsid w:val="0092492D"/>
    <w:rsid w:val="00947226"/>
    <w:rsid w:val="009611E7"/>
    <w:rsid w:val="00971DB2"/>
    <w:rsid w:val="009A0808"/>
    <w:rsid w:val="009C35A6"/>
    <w:rsid w:val="009C7978"/>
    <w:rsid w:val="00A13625"/>
    <w:rsid w:val="00A36F7F"/>
    <w:rsid w:val="00A67F57"/>
    <w:rsid w:val="00AF0B49"/>
    <w:rsid w:val="00B0397C"/>
    <w:rsid w:val="00B71A9B"/>
    <w:rsid w:val="00B7414D"/>
    <w:rsid w:val="00B94033"/>
    <w:rsid w:val="00BC365C"/>
    <w:rsid w:val="00BD0631"/>
    <w:rsid w:val="00C42F33"/>
    <w:rsid w:val="00C858E7"/>
    <w:rsid w:val="00CF240C"/>
    <w:rsid w:val="00D06337"/>
    <w:rsid w:val="00D17721"/>
    <w:rsid w:val="00D4262E"/>
    <w:rsid w:val="00DC74AC"/>
    <w:rsid w:val="00DD3D92"/>
    <w:rsid w:val="00DE6803"/>
    <w:rsid w:val="00E87F21"/>
    <w:rsid w:val="00E95072"/>
    <w:rsid w:val="00EA041A"/>
    <w:rsid w:val="00EB513F"/>
    <w:rsid w:val="00F17943"/>
    <w:rsid w:val="00F7245B"/>
    <w:rsid w:val="00FB3F4B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A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C35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C35A6"/>
    <w:pPr>
      <w:spacing w:after="120"/>
    </w:pPr>
  </w:style>
  <w:style w:type="paragraph" w:styleId="a5">
    <w:name w:val="List"/>
    <w:basedOn w:val="a4"/>
    <w:rsid w:val="009C35A6"/>
  </w:style>
  <w:style w:type="paragraph" w:customStyle="1" w:styleId="1">
    <w:name w:val="Название1"/>
    <w:basedOn w:val="a"/>
    <w:rsid w:val="009C35A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C35A6"/>
    <w:pPr>
      <w:suppressLineNumbers/>
    </w:pPr>
  </w:style>
  <w:style w:type="paragraph" w:customStyle="1" w:styleId="a6">
    <w:name w:val="Содержимое таблицы"/>
    <w:basedOn w:val="a"/>
    <w:rsid w:val="009C35A6"/>
    <w:pPr>
      <w:suppressLineNumbers/>
    </w:pPr>
  </w:style>
  <w:style w:type="paragraph" w:customStyle="1" w:styleId="a7">
    <w:name w:val="Заголовок таблицы"/>
    <w:basedOn w:val="a6"/>
    <w:rsid w:val="009C35A6"/>
    <w:pPr>
      <w:jc w:val="center"/>
    </w:pPr>
    <w:rPr>
      <w:b/>
      <w:bCs/>
    </w:rPr>
  </w:style>
  <w:style w:type="paragraph" w:styleId="a8">
    <w:name w:val="Balloon Text"/>
    <w:basedOn w:val="a"/>
    <w:semiHidden/>
    <w:rsid w:val="0067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на отчёт об исполнении  бюджета </vt:lpstr>
    </vt:vector>
  </TitlesOfParts>
  <Company>RePack by SPecialiST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отчёт об исполнении  бюджета</dc:title>
  <dc:creator>user_ray</dc:creator>
  <cp:lastModifiedBy>Мария</cp:lastModifiedBy>
  <cp:revision>2</cp:revision>
  <cp:lastPrinted>2017-10-02T11:10:00Z</cp:lastPrinted>
  <dcterms:created xsi:type="dcterms:W3CDTF">2017-11-13T06:28:00Z</dcterms:created>
  <dcterms:modified xsi:type="dcterms:W3CDTF">2017-11-13T06:28:00Z</dcterms:modified>
</cp:coreProperties>
</file>