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2D" w:rsidRPr="00F6672D" w:rsidRDefault="00F6672D" w:rsidP="00F6672D">
      <w:pPr>
        <w:jc w:val="center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>ИЗБИРАТЕЛЬНАЯ КОМИССИЯ</w:t>
      </w:r>
    </w:p>
    <w:p w:rsidR="00F6672D" w:rsidRPr="00F6672D" w:rsidRDefault="00F6672D" w:rsidP="00F6672D">
      <w:pPr>
        <w:jc w:val="center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>БЕРЁЗОВСКОГО СЕЛЬСКОГО ПОСЕЛЕНИЯ</w:t>
      </w:r>
    </w:p>
    <w:p w:rsidR="00F6672D" w:rsidRPr="00F6672D" w:rsidRDefault="00F6672D" w:rsidP="00F6672D">
      <w:pPr>
        <w:jc w:val="center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 xml:space="preserve"> ГАЛИЧСКОГО МУНИЦИПАЛЬНОГО РАЙОНА </w:t>
      </w:r>
    </w:p>
    <w:p w:rsidR="00F6672D" w:rsidRPr="00F6672D" w:rsidRDefault="00F6672D" w:rsidP="00F6672D">
      <w:pPr>
        <w:jc w:val="center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>КОСТРОМСКОЙ ОБЛАСТИ</w:t>
      </w:r>
    </w:p>
    <w:p w:rsidR="00F6672D" w:rsidRPr="00F6672D" w:rsidRDefault="00F6672D" w:rsidP="00F6672D">
      <w:pPr>
        <w:jc w:val="center"/>
        <w:rPr>
          <w:rFonts w:ascii="Times New Roman" w:hAnsi="Times New Roman"/>
          <w:i/>
          <w:sz w:val="28"/>
          <w:szCs w:val="28"/>
        </w:rPr>
      </w:pPr>
    </w:p>
    <w:p w:rsidR="00F6672D" w:rsidRPr="00F6672D" w:rsidRDefault="00F6672D" w:rsidP="00F6672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6672D"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F6672D" w:rsidRPr="00F6672D" w:rsidRDefault="00F6672D" w:rsidP="00F6672D">
      <w:pPr>
        <w:jc w:val="center"/>
        <w:rPr>
          <w:i/>
          <w:sz w:val="28"/>
          <w:szCs w:val="28"/>
        </w:rPr>
      </w:pPr>
    </w:p>
    <w:p w:rsidR="00F6672D" w:rsidRPr="00F6672D" w:rsidRDefault="00F6672D" w:rsidP="00F6672D">
      <w:pPr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</w:rPr>
        <w:t xml:space="preserve">     </w:t>
      </w:r>
      <w:r w:rsidRPr="00F6672D">
        <w:rPr>
          <w:rFonts w:ascii="Times New Roman" w:hAnsi="Times New Roman"/>
          <w:sz w:val="28"/>
          <w:szCs w:val="28"/>
        </w:rPr>
        <w:t xml:space="preserve">от  12 июля  2016 года               </w:t>
      </w:r>
      <w:r w:rsidRPr="00F6672D">
        <w:rPr>
          <w:rFonts w:ascii="Times New Roman" w:hAnsi="Times New Roman"/>
          <w:sz w:val="28"/>
          <w:szCs w:val="28"/>
        </w:rPr>
        <w:tab/>
      </w:r>
      <w:r w:rsidRPr="00F6672D">
        <w:rPr>
          <w:rFonts w:ascii="Times New Roman" w:hAnsi="Times New Roman"/>
          <w:sz w:val="28"/>
          <w:szCs w:val="28"/>
        </w:rPr>
        <w:tab/>
      </w:r>
      <w:r w:rsidRPr="00F6672D">
        <w:rPr>
          <w:rFonts w:ascii="Times New Roman" w:hAnsi="Times New Roman"/>
          <w:sz w:val="28"/>
          <w:szCs w:val="28"/>
        </w:rPr>
        <w:tab/>
      </w:r>
      <w:r w:rsidRPr="00F6672D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F6672D">
        <w:rPr>
          <w:rFonts w:ascii="Times New Roman" w:hAnsi="Times New Roman"/>
          <w:sz w:val="28"/>
          <w:szCs w:val="28"/>
        </w:rPr>
        <w:tab/>
        <w:t>№  18</w:t>
      </w:r>
    </w:p>
    <w:p w:rsidR="00F6672D" w:rsidRPr="00F6672D" w:rsidRDefault="00F6672D" w:rsidP="00F6672D">
      <w:pPr>
        <w:rPr>
          <w:rFonts w:ascii="Times New Roman" w:hAnsi="Times New Roman"/>
          <w:sz w:val="28"/>
          <w:szCs w:val="28"/>
        </w:rPr>
      </w:pPr>
    </w:p>
    <w:p w:rsidR="00F6672D" w:rsidRDefault="00F6672D" w:rsidP="00F6672D">
      <w:pPr>
        <w:pStyle w:val="2"/>
        <w:rPr>
          <w:szCs w:val="28"/>
        </w:rPr>
      </w:pPr>
    </w:p>
    <w:p w:rsidR="00F6672D" w:rsidRDefault="00F6672D" w:rsidP="00F6672D">
      <w:pPr>
        <w:pStyle w:val="a7"/>
        <w:tabs>
          <w:tab w:val="left" w:pos="9393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форме направления в средства массовой информации сведений о выявленных фактах недостоверности сведений, представленных кандидатами</w:t>
      </w:r>
    </w:p>
    <w:p w:rsidR="00B924FB" w:rsidRDefault="00F6672D" w:rsidP="00B924FB">
      <w:pPr>
        <w:pStyle w:val="a7"/>
        <w:tabs>
          <w:tab w:val="left" w:pos="9393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выборах </w:t>
      </w:r>
      <w:r w:rsidR="00B924FB">
        <w:rPr>
          <w:rFonts w:ascii="Times New Roman" w:hAnsi="Times New Roman"/>
          <w:sz w:val="28"/>
          <w:szCs w:val="28"/>
        </w:rPr>
        <w:t>главы Берёзовского сельского поселения</w:t>
      </w:r>
    </w:p>
    <w:p w:rsidR="00B924FB" w:rsidRDefault="00B924FB" w:rsidP="00B924FB">
      <w:pPr>
        <w:pStyle w:val="a7"/>
        <w:tabs>
          <w:tab w:val="left" w:pos="9393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Галичского </w:t>
      </w:r>
      <w:r w:rsidR="00F6672D">
        <w:rPr>
          <w:rFonts w:ascii="Times New Roman" w:hAnsi="Times New Roman"/>
          <w:sz w:val="28"/>
          <w:szCs w:val="28"/>
        </w:rPr>
        <w:t xml:space="preserve">муниципального района Костромской области </w:t>
      </w:r>
    </w:p>
    <w:p w:rsidR="00F6672D" w:rsidRDefault="00F6672D" w:rsidP="00F6672D">
      <w:pPr>
        <w:pStyle w:val="a7"/>
        <w:tabs>
          <w:tab w:val="left" w:pos="9393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единый день голосования 18 сентября 2016 года</w:t>
      </w:r>
    </w:p>
    <w:p w:rsidR="00F6672D" w:rsidRDefault="00F6672D" w:rsidP="00F6672D">
      <w:pPr>
        <w:pStyle w:val="a7"/>
        <w:tabs>
          <w:tab w:val="left" w:pos="9393"/>
        </w:tabs>
        <w:ind w:left="0"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672D" w:rsidRPr="00B924FB" w:rsidRDefault="00B924FB" w:rsidP="00B924FB">
      <w:pPr>
        <w:pStyle w:val="a7"/>
        <w:tabs>
          <w:tab w:val="left" w:pos="9393"/>
        </w:tabs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672D">
        <w:rPr>
          <w:rFonts w:ascii="Times New Roman" w:hAnsi="Times New Roman"/>
          <w:sz w:val="28"/>
          <w:szCs w:val="28"/>
        </w:rPr>
        <w:t xml:space="preserve">В целях информирования избирателей о выявленных фактах недостоверности сведений, представленных кандидатами на выборах </w:t>
      </w:r>
      <w:r>
        <w:rPr>
          <w:rFonts w:ascii="Times New Roman" w:hAnsi="Times New Roman"/>
          <w:sz w:val="28"/>
          <w:szCs w:val="28"/>
        </w:rPr>
        <w:t xml:space="preserve">главы Берёзовского сельского поселения Галичского </w:t>
      </w:r>
      <w:r w:rsidR="00F6672D">
        <w:rPr>
          <w:rFonts w:ascii="Times New Roman" w:hAnsi="Times New Roman"/>
          <w:sz w:val="28"/>
          <w:szCs w:val="28"/>
        </w:rPr>
        <w:t>муниципального района Костромской области, на основании статьи 44, частей семнадцатой, двадцать пятой статьи 73, части третьей статьи 114 Избирательного кодекса Костромской области</w:t>
      </w:r>
      <w:r w:rsidR="00F6672D">
        <w:rPr>
          <w:rFonts w:ascii="Times New Roman" w:hAnsi="Times New Roman"/>
          <w:bCs/>
          <w:spacing w:val="-7"/>
          <w:sz w:val="28"/>
          <w:szCs w:val="28"/>
        </w:rPr>
        <w:t>, избир</w:t>
      </w:r>
      <w:r>
        <w:rPr>
          <w:rFonts w:ascii="Times New Roman" w:hAnsi="Times New Roman"/>
          <w:bCs/>
          <w:spacing w:val="-7"/>
          <w:sz w:val="28"/>
          <w:szCs w:val="28"/>
        </w:rPr>
        <w:t>ательная комиссия Берёзовского</w:t>
      </w:r>
      <w:r w:rsidR="00F6672D">
        <w:rPr>
          <w:rFonts w:ascii="Times New Roman" w:hAnsi="Times New Roman"/>
          <w:bCs/>
          <w:spacing w:val="-7"/>
          <w:sz w:val="28"/>
          <w:szCs w:val="28"/>
        </w:rPr>
        <w:t xml:space="preserve"> сельского поселения </w:t>
      </w:r>
      <w:r w:rsidR="00F6672D">
        <w:rPr>
          <w:rFonts w:ascii="Times New Roman" w:hAnsi="Times New Roman"/>
          <w:b/>
          <w:spacing w:val="-7"/>
          <w:sz w:val="28"/>
          <w:szCs w:val="28"/>
        </w:rPr>
        <w:t>постановляет:</w:t>
      </w:r>
      <w:r w:rsidR="00F6672D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</w:p>
    <w:p w:rsidR="00F6672D" w:rsidRDefault="00B924FB" w:rsidP="00B924FB">
      <w:pPr>
        <w:pStyle w:val="a7"/>
        <w:tabs>
          <w:tab w:val="left" w:pos="9393"/>
        </w:tabs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672D">
        <w:rPr>
          <w:rFonts w:ascii="Times New Roman" w:hAnsi="Times New Roman"/>
          <w:sz w:val="28"/>
          <w:szCs w:val="28"/>
        </w:rPr>
        <w:t xml:space="preserve">1. Установить форму направления в средства массовой информации сведений о выявленных фактах недостоверности сведений, представленных кандидатами на выборах </w:t>
      </w:r>
      <w:r>
        <w:rPr>
          <w:rFonts w:ascii="Times New Roman" w:hAnsi="Times New Roman"/>
          <w:sz w:val="28"/>
          <w:szCs w:val="28"/>
        </w:rPr>
        <w:t xml:space="preserve">главы Берёзовского сельского поселения Галичского </w:t>
      </w:r>
      <w:r w:rsidR="00F6672D">
        <w:rPr>
          <w:rFonts w:ascii="Times New Roman" w:hAnsi="Times New Roman"/>
          <w:sz w:val="28"/>
          <w:szCs w:val="28"/>
        </w:rPr>
        <w:t>муниципального района Костромской области (далее – Форма) (приложение).</w:t>
      </w:r>
    </w:p>
    <w:p w:rsidR="00F6672D" w:rsidRDefault="00B924FB" w:rsidP="00B924FB">
      <w:pPr>
        <w:pStyle w:val="a7"/>
        <w:tabs>
          <w:tab w:val="left" w:pos="9393"/>
        </w:tabs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672D">
        <w:rPr>
          <w:rFonts w:ascii="Times New Roman" w:hAnsi="Times New Roman"/>
          <w:sz w:val="28"/>
          <w:szCs w:val="28"/>
        </w:rPr>
        <w:t>2. Использовать Форму для размещения информации о выявленных фактах недостоверности представленных кандидатами сведений в информационных плакатах избира</w:t>
      </w:r>
      <w:r>
        <w:rPr>
          <w:rFonts w:ascii="Times New Roman" w:hAnsi="Times New Roman"/>
          <w:sz w:val="28"/>
          <w:szCs w:val="28"/>
        </w:rPr>
        <w:t xml:space="preserve">тельной комиссии Берёзовского </w:t>
      </w:r>
      <w:r w:rsidR="00F6672D">
        <w:rPr>
          <w:rFonts w:ascii="Times New Roman" w:hAnsi="Times New Roman"/>
          <w:sz w:val="28"/>
          <w:szCs w:val="28"/>
        </w:rPr>
        <w:t xml:space="preserve">сельского поселения о зарегистрированных кандидатах на выборах </w:t>
      </w:r>
      <w:r>
        <w:rPr>
          <w:rFonts w:ascii="Times New Roman" w:hAnsi="Times New Roman"/>
          <w:sz w:val="28"/>
          <w:szCs w:val="28"/>
        </w:rPr>
        <w:t xml:space="preserve">главы Берёзовского сельского поселения Галичского </w:t>
      </w:r>
      <w:r w:rsidR="00F6672D">
        <w:rPr>
          <w:rFonts w:ascii="Times New Roman" w:hAnsi="Times New Roman"/>
          <w:sz w:val="28"/>
          <w:szCs w:val="28"/>
        </w:rPr>
        <w:t xml:space="preserve">муниципального района Костромской области, а также для размещения на </w:t>
      </w:r>
      <w:r w:rsidR="00F6672D">
        <w:rPr>
          <w:rFonts w:ascii="Times New Roman" w:hAnsi="Times New Roman"/>
          <w:spacing w:val="-2"/>
          <w:sz w:val="28"/>
          <w:szCs w:val="28"/>
        </w:rPr>
        <w:t>странице территориальной из</w:t>
      </w:r>
      <w:r>
        <w:rPr>
          <w:rFonts w:ascii="Times New Roman" w:hAnsi="Times New Roman"/>
          <w:spacing w:val="-2"/>
          <w:sz w:val="28"/>
          <w:szCs w:val="28"/>
        </w:rPr>
        <w:t>бирательной комиссии Галичского</w:t>
      </w:r>
      <w:r w:rsidR="00F6672D">
        <w:rPr>
          <w:rFonts w:ascii="Times New Roman" w:hAnsi="Times New Roman"/>
          <w:spacing w:val="-2"/>
          <w:sz w:val="28"/>
          <w:szCs w:val="28"/>
        </w:rPr>
        <w:t xml:space="preserve"> района Костромской области, </w:t>
      </w:r>
      <w:r w:rsidR="00F6672D">
        <w:rPr>
          <w:rFonts w:ascii="Times New Roman" w:hAnsi="Times New Roman"/>
          <w:spacing w:val="-2"/>
          <w:sz w:val="28"/>
          <w:szCs w:val="28"/>
        </w:rPr>
        <w:lastRenderedPageBreak/>
        <w:t>находящейся на сайте а</w:t>
      </w:r>
      <w:r>
        <w:rPr>
          <w:rFonts w:ascii="Times New Roman" w:hAnsi="Times New Roman"/>
          <w:spacing w:val="-2"/>
          <w:sz w:val="28"/>
          <w:szCs w:val="28"/>
        </w:rPr>
        <w:t>дминистрации Галичского</w:t>
      </w:r>
      <w:r w:rsidR="00F6672D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Костромской области,</w:t>
      </w:r>
      <w:r w:rsidR="00F6672D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F6672D" w:rsidRDefault="00B924FB" w:rsidP="00B924FB">
      <w:pPr>
        <w:pStyle w:val="a7"/>
        <w:tabs>
          <w:tab w:val="left" w:pos="9393"/>
        </w:tabs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672D">
        <w:rPr>
          <w:rFonts w:ascii="Times New Roman" w:hAnsi="Times New Roman"/>
          <w:sz w:val="28"/>
          <w:szCs w:val="28"/>
        </w:rPr>
        <w:t xml:space="preserve">3. Направлять в средства массовой информации сведения о выявленных фактах недостоверности сведений, представленных кандидатами на выборах </w:t>
      </w:r>
      <w:r>
        <w:rPr>
          <w:rFonts w:ascii="Times New Roman" w:hAnsi="Times New Roman"/>
          <w:sz w:val="28"/>
          <w:szCs w:val="28"/>
        </w:rPr>
        <w:t xml:space="preserve">главы Берёзовского сельского поселения Галичского </w:t>
      </w:r>
      <w:r w:rsidR="00F6672D">
        <w:rPr>
          <w:rFonts w:ascii="Times New Roman" w:hAnsi="Times New Roman"/>
          <w:sz w:val="28"/>
          <w:szCs w:val="28"/>
        </w:rPr>
        <w:t>муниципального района Костромской области, по мере завершения проверки соответствующими органами указанных сведений о кандидате и получения избира</w:t>
      </w:r>
      <w:r>
        <w:rPr>
          <w:rFonts w:ascii="Times New Roman" w:hAnsi="Times New Roman"/>
          <w:sz w:val="28"/>
          <w:szCs w:val="28"/>
        </w:rPr>
        <w:t>тельной комиссией Берёзовского</w:t>
      </w:r>
      <w:r w:rsidR="00F6672D">
        <w:rPr>
          <w:rFonts w:ascii="Times New Roman" w:hAnsi="Times New Roman"/>
          <w:sz w:val="28"/>
          <w:szCs w:val="28"/>
        </w:rPr>
        <w:t xml:space="preserve"> сельского поселения информации о ее результатах.</w:t>
      </w:r>
    </w:p>
    <w:p w:rsidR="00F6672D" w:rsidRDefault="00F6672D" w:rsidP="00F6672D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 Разместить настоящее постановление в сети «Интернет» на странице территориальной из</w:t>
      </w:r>
      <w:r w:rsidR="00B924FB">
        <w:rPr>
          <w:rFonts w:ascii="Times New Roman" w:hAnsi="Times New Roman"/>
          <w:spacing w:val="-2"/>
          <w:sz w:val="28"/>
          <w:szCs w:val="28"/>
        </w:rPr>
        <w:t>бирательной комиссии Галичского</w:t>
      </w:r>
      <w:r>
        <w:rPr>
          <w:rFonts w:ascii="Times New Roman" w:hAnsi="Times New Roman"/>
          <w:spacing w:val="-2"/>
          <w:sz w:val="28"/>
          <w:szCs w:val="28"/>
        </w:rPr>
        <w:t xml:space="preserve"> района Костромской области, находящейся на</w:t>
      </w:r>
      <w:r w:rsidR="00B924FB">
        <w:rPr>
          <w:rFonts w:ascii="Times New Roman" w:hAnsi="Times New Roman"/>
          <w:spacing w:val="-2"/>
          <w:sz w:val="28"/>
          <w:szCs w:val="28"/>
        </w:rPr>
        <w:t xml:space="preserve"> сайте администрации Галичского</w:t>
      </w:r>
      <w:r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6672D" w:rsidRDefault="00F6672D" w:rsidP="00F6672D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настоящего постановления возложить на секретаря избир</w:t>
      </w:r>
      <w:r w:rsidR="00B924FB">
        <w:rPr>
          <w:rFonts w:ascii="Times New Roman" w:hAnsi="Times New Roman"/>
          <w:sz w:val="28"/>
          <w:szCs w:val="28"/>
        </w:rPr>
        <w:t>ательной комиссии Берёзовского</w:t>
      </w:r>
      <w:r>
        <w:rPr>
          <w:rFonts w:ascii="Times New Roman" w:hAnsi="Times New Roman"/>
          <w:sz w:val="28"/>
          <w:szCs w:val="28"/>
        </w:rPr>
        <w:t xml:space="preserve"> се</w:t>
      </w:r>
      <w:r w:rsidR="00B924FB">
        <w:rPr>
          <w:rFonts w:ascii="Times New Roman" w:hAnsi="Times New Roman"/>
          <w:sz w:val="28"/>
          <w:szCs w:val="28"/>
        </w:rPr>
        <w:t>льского поселения И.А.Хмылову.</w:t>
      </w:r>
    </w:p>
    <w:p w:rsidR="00F6672D" w:rsidRDefault="00F6672D" w:rsidP="00F6672D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6672D" w:rsidRDefault="00F6672D" w:rsidP="00F6672D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6672D" w:rsidRDefault="00F6672D" w:rsidP="00F6672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Н.Н.Румянцева</w:t>
      </w:r>
    </w:p>
    <w:p w:rsidR="00F6672D" w:rsidRDefault="00F6672D" w:rsidP="00F6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6672D" w:rsidRDefault="00F6672D" w:rsidP="00F6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F6672D" w:rsidRDefault="00F6672D" w:rsidP="00F6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И.А.Хмылова</w:t>
      </w:r>
    </w:p>
    <w:p w:rsidR="00F6672D" w:rsidRDefault="00F6672D" w:rsidP="00F6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</w:p>
    <w:p w:rsidR="0057265C" w:rsidRDefault="0057265C"/>
    <w:p w:rsidR="00F6672D" w:rsidRDefault="00F6672D"/>
    <w:p w:rsidR="00F6672D" w:rsidRDefault="00F6672D"/>
    <w:p w:rsidR="00F6672D" w:rsidRDefault="00F6672D"/>
    <w:p w:rsidR="00F6672D" w:rsidRDefault="00F6672D"/>
    <w:p w:rsidR="00F6672D" w:rsidRDefault="00F6672D"/>
    <w:p w:rsidR="00F6672D" w:rsidRDefault="00F6672D"/>
    <w:p w:rsidR="00F6672D" w:rsidRDefault="00F6672D"/>
    <w:p w:rsidR="00F6672D" w:rsidRDefault="00F6672D"/>
    <w:p w:rsidR="00F6672D" w:rsidRDefault="00F6672D"/>
    <w:p w:rsidR="00F6672D" w:rsidRDefault="00F6672D"/>
    <w:p w:rsidR="00F6672D" w:rsidRDefault="00F6672D"/>
    <w:p w:rsidR="00F6672D" w:rsidRDefault="00F6672D"/>
    <w:p w:rsidR="00F6672D" w:rsidRDefault="00F6672D"/>
    <w:p w:rsidR="00802387" w:rsidRDefault="00802387"/>
    <w:p w:rsidR="00802387" w:rsidRDefault="00802387"/>
    <w:p w:rsidR="00802387" w:rsidRDefault="00802387"/>
    <w:p w:rsidR="00F6672D" w:rsidRPr="00F6672D" w:rsidRDefault="00F6672D" w:rsidP="00F6672D">
      <w:pPr>
        <w:ind w:left="5220"/>
        <w:jc w:val="center"/>
        <w:rPr>
          <w:rFonts w:ascii="Times New Roman" w:hAnsi="Times New Roman"/>
          <w:sz w:val="20"/>
          <w:szCs w:val="20"/>
        </w:rPr>
      </w:pPr>
      <w:r w:rsidRPr="00F6672D">
        <w:rPr>
          <w:rFonts w:ascii="Times New Roman" w:hAnsi="Times New Roman"/>
          <w:sz w:val="20"/>
          <w:szCs w:val="20"/>
        </w:rPr>
        <w:lastRenderedPageBreak/>
        <w:t>Приложение</w:t>
      </w:r>
      <w:r w:rsidRPr="00F6672D">
        <w:rPr>
          <w:rFonts w:ascii="Times New Roman" w:hAnsi="Times New Roman"/>
          <w:sz w:val="20"/>
          <w:szCs w:val="20"/>
        </w:rPr>
        <w:br/>
        <w:t xml:space="preserve">к постановлению избирательной комиссии </w:t>
      </w:r>
      <w:r w:rsidR="00802387">
        <w:rPr>
          <w:rFonts w:ascii="Times New Roman" w:hAnsi="Times New Roman"/>
          <w:sz w:val="20"/>
          <w:szCs w:val="20"/>
        </w:rPr>
        <w:t xml:space="preserve">Берёзовского </w:t>
      </w:r>
      <w:r w:rsidRPr="00F6672D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F6672D">
        <w:rPr>
          <w:rFonts w:ascii="Times New Roman" w:hAnsi="Times New Roman"/>
          <w:sz w:val="20"/>
          <w:szCs w:val="20"/>
        </w:rPr>
        <w:br/>
        <w:t xml:space="preserve">от </w:t>
      </w:r>
      <w:r w:rsidR="00802387">
        <w:rPr>
          <w:rFonts w:ascii="Times New Roman" w:hAnsi="Times New Roman"/>
          <w:sz w:val="20"/>
          <w:szCs w:val="20"/>
        </w:rPr>
        <w:t>12</w:t>
      </w:r>
      <w:r w:rsidRPr="00F6672D">
        <w:rPr>
          <w:rFonts w:ascii="Times New Roman" w:hAnsi="Times New Roman"/>
          <w:sz w:val="20"/>
          <w:szCs w:val="20"/>
        </w:rPr>
        <w:t xml:space="preserve"> июля 2016 года № </w:t>
      </w:r>
      <w:r w:rsidR="00802387">
        <w:rPr>
          <w:rFonts w:ascii="Times New Roman" w:hAnsi="Times New Roman"/>
          <w:sz w:val="20"/>
          <w:szCs w:val="20"/>
        </w:rPr>
        <w:t>18</w:t>
      </w:r>
    </w:p>
    <w:p w:rsidR="00802387" w:rsidRDefault="00F6672D" w:rsidP="00802387">
      <w:pPr>
        <w:pStyle w:val="a7"/>
        <w:tabs>
          <w:tab w:val="left" w:pos="9393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pacing w:val="-2"/>
          <w:sz w:val="28"/>
          <w:szCs w:val="28"/>
        </w:rPr>
        <w:t>Сведения</w:t>
      </w:r>
      <w:r w:rsidRPr="00F6672D">
        <w:rPr>
          <w:rFonts w:ascii="Times New Roman" w:hAnsi="Times New Roman"/>
          <w:spacing w:val="-2"/>
          <w:sz w:val="28"/>
          <w:szCs w:val="28"/>
        </w:rPr>
        <w:br/>
        <w:t xml:space="preserve">о </w:t>
      </w:r>
      <w:r w:rsidRPr="00F6672D">
        <w:rPr>
          <w:rFonts w:ascii="Times New Roman" w:hAnsi="Times New Roman"/>
          <w:sz w:val="28"/>
          <w:szCs w:val="28"/>
        </w:rPr>
        <w:t>выявленных фактах недостоверности сведений, представленных кандидатами на выборах</w:t>
      </w:r>
      <w:r w:rsidR="00802387" w:rsidRPr="00802387">
        <w:rPr>
          <w:rFonts w:ascii="Times New Roman" w:hAnsi="Times New Roman"/>
          <w:sz w:val="28"/>
          <w:szCs w:val="28"/>
        </w:rPr>
        <w:t xml:space="preserve"> </w:t>
      </w:r>
      <w:r w:rsidR="00802387">
        <w:rPr>
          <w:rFonts w:ascii="Times New Roman" w:hAnsi="Times New Roman"/>
          <w:sz w:val="28"/>
          <w:szCs w:val="28"/>
        </w:rPr>
        <w:t>главы Берёзовского сельского поселения</w:t>
      </w:r>
    </w:p>
    <w:p w:rsidR="00F6672D" w:rsidRPr="00F6672D" w:rsidRDefault="00802387" w:rsidP="00802387">
      <w:pPr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Галичского</w:t>
      </w:r>
      <w:r w:rsidR="00F6672D" w:rsidRPr="00F6672D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</w:t>
      </w:r>
      <w:r w:rsidR="00F6672D" w:rsidRPr="00F6672D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F6672D" w:rsidRPr="00F6672D">
        <w:rPr>
          <w:rStyle w:val="ab"/>
          <w:rFonts w:ascii="Times New Roman" w:hAnsi="Times New Roman"/>
          <w:sz w:val="28"/>
          <w:szCs w:val="28"/>
        </w:rPr>
        <w:footnoteReference w:customMarkFollows="1" w:id="2"/>
        <w:sym w:font="Symbol" w:char="F02A"/>
      </w:r>
    </w:p>
    <w:p w:rsidR="00F6672D" w:rsidRPr="00766819" w:rsidRDefault="00F6672D" w:rsidP="00F6672D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2253"/>
        <w:gridCol w:w="2252"/>
        <w:gridCol w:w="2243"/>
        <w:gridCol w:w="2248"/>
      </w:tblGrid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Представлено кандидатом</w:t>
            </w: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Результаты проверки</w:t>
            </w: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Организация, предоставившая сведения</w:t>
            </w: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Денежные средства, находящиеся на счетах в банках и иных кредитных организациях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Акции и иное участие в коммерческих организациях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Иные ценные бумаги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Обязательства имущественного характера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Сведения о приобретении имущества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Сведения об источниках средств, за счет которых приобретено имущество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Сведения о месте жительства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Сведения об образовании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72D" w:rsidRPr="00802387" w:rsidTr="000E36A0">
        <w:tc>
          <w:tcPr>
            <w:tcW w:w="94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387">
              <w:rPr>
                <w:rFonts w:ascii="Times New Roman" w:hAnsi="Times New Roman"/>
                <w:sz w:val="20"/>
                <w:szCs w:val="20"/>
              </w:rPr>
              <w:t>Сведения об основном месте работы (службы)</w:t>
            </w:r>
          </w:p>
        </w:tc>
      </w:tr>
      <w:tr w:rsidR="00F6672D" w:rsidRPr="00802387" w:rsidTr="000E36A0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6672D" w:rsidRPr="00802387" w:rsidRDefault="00F6672D" w:rsidP="000E36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672D" w:rsidRPr="00802387" w:rsidRDefault="00F6672D" w:rsidP="00F667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72D" w:rsidRDefault="00F6672D"/>
    <w:sectPr w:rsidR="00F6672D" w:rsidSect="0057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B6" w:rsidRDefault="009038B6" w:rsidP="00F6672D">
      <w:r>
        <w:separator/>
      </w:r>
    </w:p>
  </w:endnote>
  <w:endnote w:type="continuationSeparator" w:id="1">
    <w:p w:rsidR="009038B6" w:rsidRDefault="009038B6" w:rsidP="00F6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B6" w:rsidRDefault="009038B6" w:rsidP="00F6672D">
      <w:r>
        <w:separator/>
      </w:r>
    </w:p>
  </w:footnote>
  <w:footnote w:type="continuationSeparator" w:id="1">
    <w:p w:rsidR="009038B6" w:rsidRDefault="009038B6" w:rsidP="00F6672D">
      <w:r>
        <w:continuationSeparator/>
      </w:r>
    </w:p>
  </w:footnote>
  <w:footnote w:id="2">
    <w:p w:rsidR="00F6672D" w:rsidRDefault="00F6672D" w:rsidP="00F6672D">
      <w:pPr>
        <w:pStyle w:val="a9"/>
        <w:ind w:firstLine="720"/>
        <w:jc w:val="both"/>
      </w:pPr>
      <w:r w:rsidRPr="00F97FF5">
        <w:rPr>
          <w:rStyle w:val="ab"/>
        </w:rPr>
        <w:sym w:font="Symbol" w:char="F02A"/>
      </w:r>
      <w:r>
        <w:t xml:space="preserve"> Сведения о фактах недостоверности группируются отдельно по кандидату (зарегистрированному кандидату), его супругу и несовершеннолетним детям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2D"/>
    <w:rsid w:val="0057265C"/>
    <w:rsid w:val="00802387"/>
    <w:rsid w:val="009038B6"/>
    <w:rsid w:val="00B924FB"/>
    <w:rsid w:val="00E01993"/>
    <w:rsid w:val="00F6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672D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67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6672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6672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6672D"/>
    <w:pPr>
      <w:ind w:firstLine="60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6672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F6672D"/>
    <w:pPr>
      <w:ind w:left="5529" w:right="-426"/>
    </w:pPr>
    <w:rPr>
      <w:szCs w:val="20"/>
    </w:rPr>
  </w:style>
  <w:style w:type="paragraph" w:customStyle="1" w:styleId="a8">
    <w:name w:val="шапка"/>
    <w:basedOn w:val="a3"/>
    <w:rsid w:val="00F6672D"/>
    <w:pPr>
      <w:spacing w:before="120" w:after="0"/>
      <w:ind w:firstLine="425"/>
      <w:jc w:val="center"/>
    </w:pPr>
    <w:rPr>
      <w:spacing w:val="50"/>
      <w:szCs w:val="20"/>
    </w:rPr>
  </w:style>
  <w:style w:type="paragraph" w:styleId="a9">
    <w:name w:val="footnote text"/>
    <w:basedOn w:val="a"/>
    <w:link w:val="aa"/>
    <w:semiHidden/>
    <w:rsid w:val="00F6672D"/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6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667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2016-07-15T07:35:00Z</cp:lastPrinted>
  <dcterms:created xsi:type="dcterms:W3CDTF">2016-07-15T07:37:00Z</dcterms:created>
  <dcterms:modified xsi:type="dcterms:W3CDTF">2016-07-15T07:37:00Z</dcterms:modified>
</cp:coreProperties>
</file>