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6A" w:rsidRPr="002C2B6A" w:rsidRDefault="002C2B6A" w:rsidP="002C2B6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6A">
        <w:rPr>
          <w:rFonts w:ascii="Times New Roman" w:hAnsi="Times New Roman" w:cs="Times New Roman"/>
          <w:b/>
          <w:sz w:val="28"/>
          <w:szCs w:val="28"/>
        </w:rPr>
        <w:t xml:space="preserve">Внесены изменения в Федеральный закон </w:t>
      </w:r>
    </w:p>
    <w:p w:rsidR="002C2B6A" w:rsidRPr="002C2B6A" w:rsidRDefault="002C2B6A" w:rsidP="002C2B6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6A">
        <w:rPr>
          <w:rFonts w:ascii="Times New Roman" w:hAnsi="Times New Roman" w:cs="Times New Roman"/>
          <w:b/>
          <w:sz w:val="28"/>
          <w:szCs w:val="28"/>
        </w:rPr>
        <w:t>«О порядке рассмотрения обращений граждан Российской Федерации»</w:t>
      </w:r>
    </w:p>
    <w:p w:rsidR="002C2B6A" w:rsidRPr="002C2B6A" w:rsidRDefault="002C2B6A" w:rsidP="002C2B6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B6A" w:rsidRPr="002C2B6A" w:rsidRDefault="00330BB4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2C2B6A" w:rsidRPr="002C2B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27.11.2017 N 355-ФЗ внесены изменения в Федеральный закон «О порядке рассмотрения обращений граждан Российской Федерации</w:t>
        </w:r>
      </w:hyperlink>
      <w:r w:rsidR="002C2B6A" w:rsidRPr="002C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="002C2B6A" w:rsidRPr="002C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ответ на письменные обращения в госорганы будет даваться только в письменном виде, а на электронные - в электронном. </w:t>
      </w:r>
      <w:proofErr w:type="gramEnd"/>
    </w:p>
    <w:p w:rsidR="002C2B6A" w:rsidRPr="002C2B6A" w:rsidRDefault="002C2B6A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Уточнено также, что к электронным обращениям в госорганы можно прилагать документы только в электронной форме. Ранее допускалось их направление в бумажном виде. Также допускалась возможность ответа на письменное обращение в электронной форме и наоборот.</w:t>
      </w:r>
    </w:p>
    <w:p w:rsidR="002C2B6A" w:rsidRPr="002C2B6A" w:rsidRDefault="002C2B6A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установлено, что на поступившее обращение, содержащее предложение, заявление или жалобу, которые затрагивают интересы неопределенного круга лиц, ответ может быть размещен на официальном сайте соответствующего госоргана. В случае поступления письменного обращения, содержащего вопрос, ответ на который размещен на сайте, гражданину, направившему обращение, в течение семи дней сообщается электронный адрес сайта, на котором размещен ответ.</w:t>
      </w:r>
    </w:p>
    <w:p w:rsidR="002C2B6A" w:rsidRPr="002C2B6A" w:rsidRDefault="002C2B6A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2C2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gramEnd"/>
      <w:r w:rsidRPr="002C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не подлежит направлению на рассмотрение, о чем в течение семи дней со дня регистрации обращения сообщается гражданину, его направившему.</w:t>
      </w:r>
    </w:p>
    <w:p w:rsidR="002C2B6A" w:rsidRPr="002C2B6A" w:rsidRDefault="002C2B6A" w:rsidP="002C2B6A">
      <w:pPr>
        <w:pStyle w:val="a4"/>
        <w:spacing w:before="0" w:beforeAutospacing="0" w:after="0" w:afterAutospacing="0"/>
        <w:rPr>
          <w:rStyle w:val="a5"/>
          <w:rFonts w:ascii="Helvetica" w:hAnsi="Helvetica" w:cs="Helvetica"/>
          <w:sz w:val="28"/>
          <w:szCs w:val="28"/>
        </w:rPr>
      </w:pPr>
    </w:p>
    <w:p w:rsidR="00141FE3" w:rsidRDefault="00141FE3" w:rsidP="00141FE3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141FE3" w:rsidRDefault="00141FE3" w:rsidP="00141FE3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141FE3" w:rsidRDefault="00141FE3" w:rsidP="00141FE3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Костромского межрайонного </w:t>
      </w:r>
    </w:p>
    <w:p w:rsidR="00141FE3" w:rsidRPr="00027245" w:rsidRDefault="00141FE3" w:rsidP="00141FE3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природоохранного прокурора                                                        И.В. </w:t>
      </w:r>
      <w:proofErr w:type="gramStart"/>
      <w:r>
        <w:rPr>
          <w:sz w:val="28"/>
          <w:szCs w:val="28"/>
        </w:rPr>
        <w:t>Орловская</w:t>
      </w:r>
      <w:proofErr w:type="gramEnd"/>
    </w:p>
    <w:p w:rsidR="002C2B6A" w:rsidRDefault="002C2B6A" w:rsidP="002C2B6A">
      <w:pPr>
        <w:pStyle w:val="a4"/>
        <w:tabs>
          <w:tab w:val="left" w:pos="1220"/>
        </w:tabs>
        <w:rPr>
          <w:rFonts w:ascii="Helvetica" w:hAnsi="Helvetica" w:cs="Helvetica"/>
          <w:highlight w:val="yellow"/>
        </w:rPr>
      </w:pPr>
    </w:p>
    <w:p w:rsidR="002C2B6A" w:rsidRDefault="002C2B6A" w:rsidP="002C2B6A">
      <w:pPr>
        <w:pStyle w:val="a4"/>
        <w:tabs>
          <w:tab w:val="left" w:pos="1220"/>
        </w:tabs>
        <w:rPr>
          <w:rFonts w:ascii="Helvetica" w:hAnsi="Helvetica" w:cs="Helvetica"/>
          <w:highlight w:val="yellow"/>
        </w:rPr>
      </w:pPr>
    </w:p>
    <w:p w:rsidR="002C2B6A" w:rsidRDefault="002C2B6A" w:rsidP="002C2B6A">
      <w:pPr>
        <w:pStyle w:val="a4"/>
        <w:tabs>
          <w:tab w:val="left" w:pos="1220"/>
        </w:tabs>
        <w:rPr>
          <w:rFonts w:ascii="Helvetica" w:hAnsi="Helvetica" w:cs="Helvetica"/>
          <w:highlight w:val="yellow"/>
        </w:rPr>
      </w:pPr>
    </w:p>
    <w:p w:rsidR="002C2B6A" w:rsidRDefault="002C2B6A" w:rsidP="002C2B6A">
      <w:pPr>
        <w:pStyle w:val="a4"/>
        <w:tabs>
          <w:tab w:val="left" w:pos="1220"/>
        </w:tabs>
        <w:rPr>
          <w:rFonts w:ascii="Helvetica" w:hAnsi="Helvetica" w:cs="Helvetica"/>
          <w:highlight w:val="yellow"/>
        </w:rPr>
      </w:pPr>
    </w:p>
    <w:p w:rsidR="002C2B6A" w:rsidRDefault="002C2B6A" w:rsidP="002C2B6A">
      <w:pPr>
        <w:pStyle w:val="a4"/>
        <w:tabs>
          <w:tab w:val="left" w:pos="1220"/>
        </w:tabs>
        <w:rPr>
          <w:rFonts w:ascii="Helvetica" w:hAnsi="Helvetica" w:cs="Helvetica"/>
          <w:highlight w:val="yellow"/>
        </w:rPr>
      </w:pPr>
    </w:p>
    <w:p w:rsidR="002C2B6A" w:rsidRDefault="002C2B6A" w:rsidP="002C2B6A">
      <w:pPr>
        <w:pStyle w:val="a4"/>
        <w:tabs>
          <w:tab w:val="left" w:pos="1220"/>
        </w:tabs>
        <w:rPr>
          <w:rFonts w:ascii="Helvetica" w:hAnsi="Helvetica" w:cs="Helvetica"/>
          <w:highlight w:val="yellow"/>
        </w:rPr>
      </w:pPr>
    </w:p>
    <w:p w:rsidR="002C2B6A" w:rsidRDefault="002C2B6A" w:rsidP="002C2B6A">
      <w:pPr>
        <w:pStyle w:val="a4"/>
        <w:tabs>
          <w:tab w:val="left" w:pos="1220"/>
        </w:tabs>
        <w:rPr>
          <w:rFonts w:ascii="Helvetica" w:hAnsi="Helvetica" w:cs="Helvetica"/>
          <w:highlight w:val="yellow"/>
        </w:rPr>
      </w:pPr>
    </w:p>
    <w:p w:rsidR="002C2B6A" w:rsidRDefault="002C2B6A" w:rsidP="002C2B6A">
      <w:pPr>
        <w:pStyle w:val="a4"/>
        <w:tabs>
          <w:tab w:val="left" w:pos="1220"/>
        </w:tabs>
        <w:rPr>
          <w:rFonts w:ascii="Helvetica" w:hAnsi="Helvetica" w:cs="Helvetica"/>
          <w:highlight w:val="yellow"/>
        </w:rPr>
      </w:pPr>
    </w:p>
    <w:p w:rsidR="002C2B6A" w:rsidRDefault="002C2B6A" w:rsidP="002C2B6A">
      <w:pPr>
        <w:pStyle w:val="a4"/>
        <w:tabs>
          <w:tab w:val="left" w:pos="1220"/>
        </w:tabs>
        <w:rPr>
          <w:rFonts w:ascii="Helvetica" w:hAnsi="Helvetica" w:cs="Helvetica"/>
          <w:highlight w:val="yellow"/>
        </w:rPr>
      </w:pPr>
    </w:p>
    <w:p w:rsidR="002C2B6A" w:rsidRDefault="002C2B6A" w:rsidP="002C2B6A">
      <w:pPr>
        <w:pStyle w:val="a4"/>
        <w:tabs>
          <w:tab w:val="left" w:pos="1220"/>
        </w:tabs>
        <w:rPr>
          <w:rFonts w:ascii="Helvetica" w:hAnsi="Helvetica" w:cs="Helvetica"/>
          <w:highlight w:val="yellow"/>
        </w:rPr>
      </w:pPr>
    </w:p>
    <w:p w:rsidR="00141FE3" w:rsidRDefault="00141FE3" w:rsidP="002C2B6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B6A" w:rsidRPr="002C2B6A" w:rsidRDefault="002C2B6A" w:rsidP="002C2B6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Установлены критерии отнесения объектов, оказывающих негативное воздействие на окружающую среду, к объектам I, II, III и IV категории риска для целей осуществления регионального государственного экологического надзора</w:t>
      </w:r>
    </w:p>
    <w:p w:rsidR="002C2B6A" w:rsidRDefault="002C2B6A" w:rsidP="002C2B6A">
      <w:pPr>
        <w:pStyle w:val="a4"/>
        <w:spacing w:before="0" w:beforeAutospacing="0" w:after="0" w:afterAutospacing="0"/>
        <w:ind w:firstLine="709"/>
        <w:jc w:val="both"/>
      </w:pPr>
    </w:p>
    <w:p w:rsidR="002C2B6A" w:rsidRPr="002C2B6A" w:rsidRDefault="00330BB4" w:rsidP="002C2B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tgtFrame="_blank" w:history="1">
        <w:r w:rsidR="002C2B6A" w:rsidRPr="002C2B6A">
          <w:rPr>
            <w:bCs/>
            <w:sz w:val="28"/>
            <w:szCs w:val="28"/>
          </w:rPr>
          <w:t>Постановлением Правительства РФ от 22.11.2017 N 1410</w:t>
        </w:r>
        <w:r w:rsidR="002C2B6A" w:rsidRPr="002C2B6A">
          <w:rPr>
            <w:bCs/>
            <w:sz w:val="28"/>
            <w:szCs w:val="28"/>
          </w:rPr>
          <w:br/>
          <w:t xml:space="preserve">«О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надзора» </w:t>
        </w:r>
      </w:hyperlink>
      <w:r w:rsidR="002C2B6A" w:rsidRPr="002C2B6A">
        <w:rPr>
          <w:bCs/>
          <w:sz w:val="28"/>
          <w:szCs w:val="28"/>
        </w:rPr>
        <w:t>у</w:t>
      </w:r>
      <w:r w:rsidR="002C2B6A" w:rsidRPr="002C2B6A">
        <w:rPr>
          <w:sz w:val="28"/>
          <w:szCs w:val="28"/>
        </w:rPr>
        <w:t xml:space="preserve">становлены критерии отнесения объектов, оказывающих негативное воздействие на окружающую среду, к объектам I, II, III и IV категории риска для целей осуществления регионального государственного экологического надзора </w:t>
      </w:r>
    </w:p>
    <w:p w:rsidR="002C2B6A" w:rsidRPr="002C2B6A" w:rsidRDefault="002C2B6A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</w:t>
      </w:r>
      <w:r w:rsidR="000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РФ от 02.03.2017 N 245 «</w:t>
      </w:r>
      <w:r w:rsidRPr="002C2B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Российской Федерации от 17 августа 2016 г. N 806</w:t>
      </w:r>
      <w:r w:rsidR="000272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государственный экологический надзор был отнесен к числу видов государственного контроля (надзора), при осуществлении которых применяется </w:t>
      </w:r>
      <w:proofErr w:type="gramStart"/>
      <w:r w:rsidRPr="002C2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риск-ориентированный</w:t>
      </w:r>
      <w:proofErr w:type="gramEnd"/>
      <w:r w:rsidRPr="002C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 </w:t>
      </w:r>
    </w:p>
    <w:p w:rsidR="002C2B6A" w:rsidRPr="002C2B6A" w:rsidRDefault="002C2B6A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Постановлением определены критерии отнесения объектов, оказывающих негативное воздействие на окружающую среду, к определенной категории риска, а также периодичность осуществления плановых проверок объектов в зависимости от установленной категории риска, а именно: </w:t>
      </w:r>
    </w:p>
    <w:p w:rsidR="002C2B6A" w:rsidRPr="002C2B6A" w:rsidRDefault="00027245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2B6A" w:rsidRPr="002C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категории высокого риска - один раз в 2 года; </w:t>
      </w:r>
    </w:p>
    <w:p w:rsidR="002C2B6A" w:rsidRPr="002C2B6A" w:rsidRDefault="00027245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2B6A" w:rsidRPr="002C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категории значительного риска - один раз в 3 года; </w:t>
      </w:r>
    </w:p>
    <w:p w:rsidR="002C2B6A" w:rsidRPr="002C2B6A" w:rsidRDefault="00027245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2B6A" w:rsidRPr="002C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категории среднего риска - не чаще чем один раз в 4 года; </w:t>
      </w:r>
    </w:p>
    <w:p w:rsidR="002C2B6A" w:rsidRPr="002C2B6A" w:rsidRDefault="00027245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2B6A" w:rsidRPr="002C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категории умеренного риска - не чаще чем один раз в 5 лет; </w:t>
      </w:r>
    </w:p>
    <w:p w:rsidR="002C2B6A" w:rsidRPr="002C2B6A" w:rsidRDefault="00027245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2B6A" w:rsidRPr="002C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категории низкого риска - не проводятся. </w:t>
      </w:r>
    </w:p>
    <w:p w:rsidR="002C2B6A" w:rsidRDefault="002C2B6A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риска объекта регионального надзора может быть повышена или понижена при актуализации учетных сведений о негативном воздействии на окружающую среду в случаях изменения технологических процессов основных производств, источников загрязнения окружающей среды, изменения характеристик технических средств по обезвреживанию выбросов (сбросов) загрязняющих веществ, технологий использования, обезвреживания и размещения отходов производства и потребления.</w:t>
      </w:r>
    </w:p>
    <w:p w:rsidR="00027245" w:rsidRDefault="00027245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FE3" w:rsidRDefault="00141FE3" w:rsidP="00141FE3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141FE3" w:rsidRDefault="00141FE3" w:rsidP="00141FE3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Костромского межрайонного </w:t>
      </w:r>
    </w:p>
    <w:p w:rsidR="00141FE3" w:rsidRPr="00027245" w:rsidRDefault="00141FE3" w:rsidP="00141FE3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природоохранного прокурора                                                        И.В. </w:t>
      </w:r>
      <w:proofErr w:type="gramStart"/>
      <w:r>
        <w:rPr>
          <w:sz w:val="28"/>
          <w:szCs w:val="28"/>
        </w:rPr>
        <w:t>Орловская</w:t>
      </w:r>
      <w:proofErr w:type="gramEnd"/>
    </w:p>
    <w:p w:rsidR="00027245" w:rsidRDefault="00027245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45" w:rsidRDefault="00027245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45" w:rsidRDefault="00027245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FE3" w:rsidRDefault="00141FE3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45" w:rsidRDefault="00027245" w:rsidP="0002724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Уточнены правила заключения договора пользования рыбоводным участком</w:t>
      </w:r>
    </w:p>
    <w:p w:rsidR="00027245" w:rsidRPr="00027245" w:rsidRDefault="00330BB4" w:rsidP="0002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027245" w:rsidRPr="000272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РФ от 23.11.2017 N 1419 «О внесении изменений в Правила организации и проведения торгов (конкурсов, аукционов) на право заключения договора пользования рыбоводным участком»</w:t>
        </w:r>
      </w:hyperlink>
      <w:r w:rsidR="00027245" w:rsidRPr="000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уточнены правила заключения договора пользования рыбоводным участком.</w:t>
      </w:r>
    </w:p>
    <w:p w:rsidR="00027245" w:rsidRPr="00027245" w:rsidRDefault="00027245" w:rsidP="0002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Постановлением, в частности, устанавливается, что организатором аукционов на право заключения договора пользования рыбоводным участком в отношении рыбоводных участков, расположенных на водных объектах и (или) их частях, являются территориальные органы Росрыболовства, за исключением рыбоводных участков, расположенных на континентальном шельфе РФ и в исключительной экономической зоне РФ.</w:t>
      </w:r>
    </w:p>
    <w:p w:rsidR="00027245" w:rsidRPr="00027245" w:rsidRDefault="00027245" w:rsidP="0002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уточняется время рассмотрения заявок от участников конкурса и основания выставления рыбоводных участков на торги (конкурсы, аукционы).</w:t>
      </w:r>
    </w:p>
    <w:p w:rsidR="00027245" w:rsidRPr="00027245" w:rsidRDefault="00027245" w:rsidP="00027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Правила дополнены нормой о заключении договора пользования рыбоводным участком с единственным участником аукциона или с участником аукциона, сделавшим предпоследнее предложение о цене предмета аукциона, в случае уклонения от заключения договора и (или) отказа от осуществления доплаты победителя аукциона.</w:t>
      </w:r>
    </w:p>
    <w:p w:rsidR="00027245" w:rsidRPr="00027245" w:rsidRDefault="00027245" w:rsidP="00027245">
      <w:pPr>
        <w:pStyle w:val="a4"/>
        <w:tabs>
          <w:tab w:val="left" w:pos="12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7245" w:rsidRPr="00027245" w:rsidRDefault="00027245" w:rsidP="00027245">
      <w:pPr>
        <w:spacing w:after="0" w:line="240" w:lineRule="auto"/>
      </w:pPr>
    </w:p>
    <w:p w:rsidR="00141FE3" w:rsidRDefault="00141FE3" w:rsidP="00141FE3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141FE3" w:rsidRDefault="00141FE3" w:rsidP="00141FE3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Костромского межрайонного </w:t>
      </w:r>
    </w:p>
    <w:p w:rsidR="00141FE3" w:rsidRPr="00027245" w:rsidRDefault="00141FE3" w:rsidP="00141FE3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природоохранного прокурора                                                        И.В. </w:t>
      </w:r>
      <w:proofErr w:type="gramStart"/>
      <w:r>
        <w:rPr>
          <w:sz w:val="28"/>
          <w:szCs w:val="28"/>
        </w:rPr>
        <w:t>Орловская</w:t>
      </w:r>
      <w:proofErr w:type="gramEnd"/>
    </w:p>
    <w:p w:rsidR="00027245" w:rsidRDefault="00027245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45" w:rsidRDefault="00027245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45" w:rsidRDefault="00027245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45" w:rsidRDefault="00027245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45" w:rsidRDefault="00027245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45" w:rsidRDefault="00027245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45" w:rsidRPr="002C2B6A" w:rsidRDefault="00027245" w:rsidP="002C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B6A" w:rsidRPr="002C2B6A" w:rsidRDefault="002C2B6A" w:rsidP="00912410">
      <w:pPr>
        <w:pStyle w:val="a4"/>
        <w:rPr>
          <w:rStyle w:val="a5"/>
          <w:rFonts w:ascii="Helvetica" w:hAnsi="Helvetica" w:cs="Helvetica"/>
          <w:sz w:val="28"/>
          <w:szCs w:val="28"/>
        </w:rPr>
      </w:pPr>
    </w:p>
    <w:p w:rsidR="002C2B6A" w:rsidRDefault="002C2B6A" w:rsidP="00912410">
      <w:pPr>
        <w:pStyle w:val="a4"/>
        <w:rPr>
          <w:rStyle w:val="a5"/>
          <w:rFonts w:ascii="Helvetica" w:hAnsi="Helvetica" w:cs="Helvetica"/>
        </w:rPr>
      </w:pPr>
    </w:p>
    <w:p w:rsidR="002C2B6A" w:rsidRDefault="002C2B6A" w:rsidP="00912410">
      <w:pPr>
        <w:pStyle w:val="a4"/>
        <w:rPr>
          <w:rStyle w:val="a5"/>
          <w:rFonts w:ascii="Helvetica" w:hAnsi="Helvetica" w:cs="Helvetica"/>
        </w:rPr>
      </w:pPr>
    </w:p>
    <w:p w:rsidR="002C2B6A" w:rsidRDefault="002C2B6A" w:rsidP="00912410">
      <w:pPr>
        <w:pStyle w:val="a4"/>
        <w:rPr>
          <w:rStyle w:val="a5"/>
          <w:rFonts w:ascii="Helvetica" w:hAnsi="Helvetica" w:cs="Helvetica"/>
        </w:rPr>
      </w:pPr>
    </w:p>
    <w:p w:rsidR="002C2B6A" w:rsidRDefault="002C2B6A" w:rsidP="00912410">
      <w:pPr>
        <w:pStyle w:val="a4"/>
        <w:rPr>
          <w:rStyle w:val="a5"/>
          <w:rFonts w:ascii="Helvetica" w:hAnsi="Helvetica" w:cs="Helvetica"/>
        </w:rPr>
      </w:pPr>
    </w:p>
    <w:p w:rsidR="002C2B6A" w:rsidRDefault="002C2B6A" w:rsidP="00912410">
      <w:pPr>
        <w:pStyle w:val="a4"/>
        <w:rPr>
          <w:rStyle w:val="a5"/>
          <w:rFonts w:ascii="Helvetica" w:hAnsi="Helvetica" w:cs="Helvetica"/>
        </w:rPr>
      </w:pPr>
    </w:p>
    <w:p w:rsidR="002C2B6A" w:rsidRDefault="002C2B6A" w:rsidP="00912410">
      <w:pPr>
        <w:pStyle w:val="a4"/>
        <w:rPr>
          <w:rStyle w:val="a5"/>
          <w:rFonts w:ascii="Helvetica" w:hAnsi="Helvetica" w:cs="Helvetica"/>
        </w:rPr>
      </w:pPr>
    </w:p>
    <w:p w:rsidR="0021755D" w:rsidRPr="0068347A" w:rsidRDefault="0021755D" w:rsidP="0021755D">
      <w:pPr>
        <w:pStyle w:val="a4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68347A">
        <w:rPr>
          <w:b/>
          <w:sz w:val="28"/>
          <w:szCs w:val="28"/>
        </w:rPr>
        <w:lastRenderedPageBreak/>
        <w:t>Верховным Судом Российской Федерации разъяснены вопросы, возникающие при рассмотрении дел об административной ответственности за привлечение к трудовой деятельности государственного или муниципального служащего с нарушением антикоррупционного законодательства</w:t>
      </w:r>
    </w:p>
    <w:p w:rsidR="0021755D" w:rsidRPr="0068347A" w:rsidRDefault="0021755D" w:rsidP="0021755D">
      <w:pPr>
        <w:pStyle w:val="a4"/>
        <w:spacing w:before="0" w:beforeAutospacing="0" w:after="0" w:afterAutospacing="0"/>
        <w:ind w:firstLine="709"/>
        <w:jc w:val="both"/>
        <w:rPr>
          <w:rStyle w:val="a5"/>
          <w:rFonts w:ascii="Helvetica" w:hAnsi="Helvetica" w:cs="Helvetica"/>
        </w:rPr>
      </w:pPr>
    </w:p>
    <w:p w:rsidR="0021755D" w:rsidRPr="0068347A" w:rsidRDefault="00330BB4" w:rsidP="002175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tgtFrame="_blank" w:history="1">
        <w:proofErr w:type="gramStart"/>
        <w:r w:rsidR="0021755D" w:rsidRPr="0068347A">
          <w:rPr>
            <w:rStyle w:val="a3"/>
            <w:bCs/>
            <w:color w:val="auto"/>
            <w:sz w:val="28"/>
            <w:szCs w:val="28"/>
            <w:u w:val="none"/>
          </w:rPr>
          <w:t>Постановлением Пленума Верховного Суда Российской Федерации от 28.11.2017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</w:t>
        </w:r>
      </w:hyperlink>
      <w:r w:rsidR="0021755D" w:rsidRPr="0068347A">
        <w:rPr>
          <w:sz w:val="28"/>
          <w:szCs w:val="28"/>
        </w:rPr>
        <w:t xml:space="preserve"> разъяснены вопросы, возникающие при рассмотрении дел об административной ответственности за привлечение к трудовой деятельности государственного или муниципального служащего с нарушением антикоррупционного законодательства </w:t>
      </w:r>
      <w:proofErr w:type="gramEnd"/>
    </w:p>
    <w:p w:rsidR="0021755D" w:rsidRPr="0068347A" w:rsidRDefault="0021755D" w:rsidP="002175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8347A">
        <w:rPr>
          <w:sz w:val="28"/>
          <w:szCs w:val="28"/>
        </w:rPr>
        <w:t>Объективная сторона состава данного административного правонарушения, предусмотренного статьей 19.29 КоАП РФ, выражается в неисполнении работодателем при привлечении к трудовой деятельности на условиях трудового или гражданско-правового договора на выполнение работ (оказание услуг) в течение месяца стоимостью более 100 тысяч рублей гражданина, замещавшего должности государственной (муниципальной) службы, перечень которых установлен нормативными правовыми актами РФ, обязанности сообщать в десятидневный срок о заключении такого</w:t>
      </w:r>
      <w:proofErr w:type="gramEnd"/>
      <w:r w:rsidRPr="0068347A">
        <w:rPr>
          <w:sz w:val="28"/>
          <w:szCs w:val="28"/>
        </w:rPr>
        <w:t xml:space="preserve"> договора работодателю государственного или муниципального служащего по последнему месту его службы в порядке, устанавливаемом нормативными правовыми актами РФ, в течение 2-х лет после его увольнения с госслужбы. </w:t>
      </w:r>
    </w:p>
    <w:p w:rsidR="0021755D" w:rsidRPr="0068347A" w:rsidRDefault="0021755D" w:rsidP="002175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347A">
        <w:rPr>
          <w:sz w:val="28"/>
          <w:szCs w:val="28"/>
        </w:rPr>
        <w:t xml:space="preserve">Сообщается, в частности, что: </w:t>
      </w:r>
    </w:p>
    <w:p w:rsidR="0021755D" w:rsidRPr="0068347A" w:rsidRDefault="0021755D" w:rsidP="002175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8347A">
        <w:rPr>
          <w:sz w:val="28"/>
          <w:szCs w:val="28"/>
        </w:rPr>
        <w:t>- не является нарушением требований части 4 статьи 12 Федерального закона "О противодействии коррупции" несообщение работодателем представителю нанимателя (работодателя) бывшего государственного или муниципального служащего в случае перевода последнего на другую должность или на другую работу в пределах одной организации,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</w:t>
      </w:r>
      <w:proofErr w:type="gramEnd"/>
      <w:r w:rsidRPr="0068347A">
        <w:rPr>
          <w:sz w:val="28"/>
          <w:szCs w:val="28"/>
        </w:rPr>
        <w:t xml:space="preserve"> (внутреннее совместительство), а также при не сообщении служащим работодателю возложенных на него антикоррупционных обязанностей и ограничений;</w:t>
      </w:r>
    </w:p>
    <w:p w:rsidR="0021755D" w:rsidRPr="0068347A" w:rsidRDefault="0021755D" w:rsidP="002175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347A">
        <w:rPr>
          <w:sz w:val="28"/>
          <w:szCs w:val="28"/>
        </w:rPr>
        <w:t xml:space="preserve">- при уклонении работодателя от оформления с бывшим государственным (муниципальным) служащим трудового договора или его ненадлежащем оформлении виновное лицо может быть привлечено к административной ответственности, предусмотренной частями 4 или 5 статьи 5.27 КоАП РФ; </w:t>
      </w:r>
    </w:p>
    <w:p w:rsidR="0021755D" w:rsidRPr="0068347A" w:rsidRDefault="0021755D" w:rsidP="002175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8347A">
        <w:rPr>
          <w:sz w:val="28"/>
          <w:szCs w:val="28"/>
        </w:rPr>
        <w:t xml:space="preserve">- если на момент заключения трудового (гражданско-правового) договора с бывшим госслужащим государственный (муниципальный) орган, в котором данное лицо проходило государственную (муниципальную) службу, реорганизован или упразднен, соответствующее сообщение </w:t>
      </w:r>
      <w:r w:rsidRPr="0068347A">
        <w:rPr>
          <w:sz w:val="28"/>
          <w:szCs w:val="28"/>
        </w:rPr>
        <w:lastRenderedPageBreak/>
        <w:t xml:space="preserve">подлежит направлению в государственный (муниципальный) орган, который осуществляет функции реорганизованного (упраздненного) органа; </w:t>
      </w:r>
      <w:proofErr w:type="gramEnd"/>
    </w:p>
    <w:p w:rsidR="0021755D" w:rsidRPr="0068347A" w:rsidRDefault="0021755D" w:rsidP="002175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8347A">
        <w:rPr>
          <w:sz w:val="28"/>
          <w:szCs w:val="28"/>
        </w:rPr>
        <w:t xml:space="preserve">- граждане подлежат административной ответственности по статье 19.29 КоАП РФ в случае привлечения ими к трудовой деятельности на договорной основе иных физических лиц, являвшихся бывшими государственным или муниципальным служащим (например, к таким гражданам могут быть отнесены занимающиеся частной практикой нотариусы, адвокаты, учредившие адвокатские кабинеты, и другие лица, занимающиеся в установленном законодательством порядке частной практикой); </w:t>
      </w:r>
      <w:proofErr w:type="gramEnd"/>
    </w:p>
    <w:p w:rsidR="0021755D" w:rsidRPr="0068347A" w:rsidRDefault="0021755D" w:rsidP="002175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8347A">
        <w:rPr>
          <w:sz w:val="28"/>
          <w:szCs w:val="28"/>
        </w:rPr>
        <w:t>- назначение виновному лицу административного наказания должно быть строго индивидуализировано и при наличии совокупности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ответственности юридического лица, судья, в производстве которого находится дело о таком административном правонарушении, вправе назначить юридическому лицу штраф в размере менее минимального размера штрафа, предусмотренного санкцией статьи 19.29 КоАП РФ;</w:t>
      </w:r>
      <w:proofErr w:type="gramEnd"/>
    </w:p>
    <w:p w:rsidR="0021755D" w:rsidRPr="0068347A" w:rsidRDefault="0021755D" w:rsidP="002175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347A">
        <w:rPr>
          <w:sz w:val="28"/>
          <w:szCs w:val="28"/>
        </w:rPr>
        <w:t>- обязанность направить уведомление работодателю бывшего государственного или муниципального служащего по последнему месту его службы возложена на все организации, независимо от их организационно-правовой формы (в том числе государственные и муниципальные учреждения и предприятия).</w:t>
      </w:r>
    </w:p>
    <w:p w:rsidR="00415E15" w:rsidRPr="0068347A" w:rsidRDefault="00415E15" w:rsidP="000272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5E15" w:rsidRDefault="00415E15" w:rsidP="000272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15E15" w:rsidRDefault="00415E15" w:rsidP="00415E15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415E15" w:rsidRDefault="00415E15" w:rsidP="00415E15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Костромского межрайонного </w:t>
      </w:r>
    </w:p>
    <w:p w:rsidR="00415E15" w:rsidRPr="00027245" w:rsidRDefault="00415E15" w:rsidP="00415E15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природоохранного прокурора                                                        И.В. </w:t>
      </w:r>
      <w:proofErr w:type="gramStart"/>
      <w:r>
        <w:rPr>
          <w:sz w:val="28"/>
          <w:szCs w:val="28"/>
        </w:rPr>
        <w:t>Орловская</w:t>
      </w:r>
      <w:proofErr w:type="gramEnd"/>
    </w:p>
    <w:p w:rsidR="00415E15" w:rsidRPr="00027245" w:rsidRDefault="00415E15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sectPr w:rsidR="00415E15" w:rsidRPr="00027245" w:rsidSect="0033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355C"/>
    <w:multiLevelType w:val="multilevel"/>
    <w:tmpl w:val="9FB8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054F5"/>
    <w:multiLevelType w:val="multilevel"/>
    <w:tmpl w:val="FDE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62850"/>
    <w:rsid w:val="00027245"/>
    <w:rsid w:val="00141FE3"/>
    <w:rsid w:val="0021755D"/>
    <w:rsid w:val="002C2B6A"/>
    <w:rsid w:val="00330BB4"/>
    <w:rsid w:val="00415E15"/>
    <w:rsid w:val="00466F27"/>
    <w:rsid w:val="0068347A"/>
    <w:rsid w:val="006C3ACB"/>
    <w:rsid w:val="007D78AA"/>
    <w:rsid w:val="007F49B7"/>
    <w:rsid w:val="00912410"/>
    <w:rsid w:val="00B4361E"/>
    <w:rsid w:val="00B62850"/>
    <w:rsid w:val="00C1070D"/>
    <w:rsid w:val="00CB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4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2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4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24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17-11-30/click/consultant/?dst=http%3A%2F%2Fwww.consultant.ru%2Fdocument%2Fcons_doc_LAW_283726%2F%23utm_campaign%3Dfd%26utm_source%3Dconsultant%26utm_medium%3Demail%26utm_content%3Dbo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abinet/stat/hotdocs/2017-11-28/click/consultant/?dst=http%3A%2F%2Fwww.consultant.ru%2Flaw%2Fhotdocs%2Flink%2F%3Fid%3D51636%23utm_campaign%3Dhotdocs%26utm_source%3Dconsultant%26utm_medium%3Demail%26utm_content%3Db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abinet/stat/fd/2017-11-28/click/consultant/?dst=http%3A%2F%2Fwww.consultant.ru%2Fdocument%2Fcons_doc_LAW_283389%2F%23utm_campaign%3Dfd%26utm_source%3Dconsultant%26utm_medium%3Demail%26utm_content%3Dbody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cabinet/stat/hotdocs/2017-11-28/click/consultant/?dst=http%3A%2F%2Fwww.consultant.ru%2Flaw%2Fhotdocs%2Flink%2F%3Fid%3D51611%23utm_campaign%3Dhotdocs%26utm_source%3Dconsultant%26utm_medium%3Demail%26utm_content%3Dbod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2</cp:revision>
  <dcterms:created xsi:type="dcterms:W3CDTF">2017-12-07T11:48:00Z</dcterms:created>
  <dcterms:modified xsi:type="dcterms:W3CDTF">2017-12-07T11:48:00Z</dcterms:modified>
</cp:coreProperties>
</file>