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D" w:rsidRPr="00C6565D" w:rsidRDefault="00C6565D" w:rsidP="00C6565D">
      <w:pPr>
        <w:spacing w:before="497" w:after="304" w:line="240" w:lineRule="auto"/>
        <w:ind w:left="203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277"/>
          <w:kern w:val="36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03277"/>
          <w:kern w:val="36"/>
          <w:sz w:val="28"/>
          <w:szCs w:val="28"/>
          <w:lang w:eastAsia="ru-RU"/>
        </w:rPr>
        <w:t>ПОРЯДОК РАССМОТРЕНИЯ ОБРАЩЕНИЙ ГРАЖДАН И ОТВЕТСТВЕННОСТЬ ЗА ЕГО НАРУШЕНИЕ</w:t>
      </w:r>
    </w:p>
    <w:p w:rsidR="00C6565D" w:rsidRPr="00C6565D" w:rsidRDefault="00C6565D" w:rsidP="00C6565D">
      <w:pPr>
        <w:spacing w:after="20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Порядок рассмотрения обращений граждан в органах государственной власти и местного самоуправления установлен Федеральным законом от 02.05.2006 №59-ФЗ «О порядке рассмотрения обращений граждан Российской Федерации» (далее – Федеральный закон), а также иными федеральными законами.</w:t>
      </w:r>
    </w:p>
    <w:p w:rsidR="00C6565D" w:rsidRPr="00C6565D" w:rsidRDefault="00C6565D" w:rsidP="00C65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Право граждан на обращение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Осуществление гражданами права на обращение не должно нарушать права и свободы других лиц.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Рассмотрение обращений граждан осуществляется бесплатно.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Обращение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Требования к письменному обращению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 ставит личную подпись и дату.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4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порядке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, установленном Федеральным законом. 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</w:t>
      </w: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либо направить указанные документы и материалы или их копии в письменной форме.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Направление и регистрация письменного обращения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которых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обжалуется.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Рассмотрение обращения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Сроки рассмотрения письменного обращения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5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статьи 10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</w:t>
      </w: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Порядок рассмотрения отдельных обращений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6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порядка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обжалования данного судебного решения.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7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тайну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случае</w:t>
      </w:r>
      <w:proofErr w:type="gramStart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proofErr w:type="gramEnd"/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</w:t>
      </w: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государственный орган, орган местного самоуправления или соответствующему должностному лицу.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Ответственность за нарушение  порядка рассмотрения обращений граждан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8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законодательством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Российской Федерации.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Кодекс Российской Федерации  об административных правонарушениях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Статья 5.59. Нарушение порядка рассмотрения обращений граждан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Нарушение установленного законодательством Российской Федерации </w:t>
      </w:r>
      <w:hyperlink r:id="rId9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порядка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рассмотрения обращений граждан должностными лицами государственных органов и органов местного самоуправления, за исключением случаев, предусмотренных </w:t>
      </w:r>
      <w:hyperlink r:id="rId10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статьями 5.39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 </w:t>
      </w:r>
      <w:hyperlink r:id="rId11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5.63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Кодекса об административных правонарушениях.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b/>
          <w:bCs/>
          <w:color w:val="0B0B0B"/>
          <w:sz w:val="28"/>
          <w:szCs w:val="28"/>
          <w:lang w:eastAsia="ru-RU"/>
        </w:rPr>
        <w:t>Статья 5.39. Отказ в предоставлении информации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Неправомерный отказ в предоставлении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информации, за исключением случаев, предусмотренных </w:t>
      </w:r>
      <w:hyperlink r:id="rId12" w:history="1">
        <w:r w:rsidRPr="00C6565D">
          <w:rPr>
            <w:rFonts w:ascii="Times New Roman" w:eastAsia="Times New Roman" w:hAnsi="Times New Roman" w:cs="Times New Roman"/>
            <w:color w:val="003277"/>
            <w:sz w:val="28"/>
            <w:szCs w:val="28"/>
            <w:lang w:eastAsia="ru-RU"/>
          </w:rPr>
          <w:t>статьей 7.23.1</w:t>
        </w:r>
      </w:hyperlink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Кодекса об административных правонарушениях.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     </w:t>
      </w:r>
    </w:p>
    <w:p w:rsidR="00C6565D" w:rsidRPr="00C6565D" w:rsidRDefault="00C6565D" w:rsidP="00C656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C6565D"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По вопросам нарушения порядка рассмотрения обращений граждан органами государственной власти и местного самоуправления</w:t>
      </w:r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 xml:space="preserve"> (например, не предоставление ответа, нарушение</w:t>
      </w:r>
      <w:r w:rsidRPr="00C6565D"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 xml:space="preserve"> сроков рассмотрения и др.</w:t>
      </w:r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)</w:t>
      </w:r>
      <w:r w:rsidRPr="00C6565D"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 xml:space="preserve"> можно обра</w:t>
      </w:r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титься в Галичскую межрайонную прокуратуру по адресу: 157201 г</w:t>
      </w:r>
      <w:proofErr w:type="gramStart"/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 xml:space="preserve">алич пл.Революции д.31 или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galich@kosoblproc.ru</w:t>
      </w:r>
      <w:proofErr w:type="spellEnd"/>
      <w:r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.</w:t>
      </w:r>
    </w:p>
    <w:p w:rsidR="008D6DFC" w:rsidRPr="00C6565D" w:rsidRDefault="00C6565D" w:rsidP="00C6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65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Рассмотрение обращений и прием граждан и представителей юридических лиц в органах прокуратуры осуществляется на основании положений Конституции Российской Федерации, Федерального закона «О прокуратуре Российской Федерации», Федерального закона «О порядке рассмотрения обращений граждан Российской Федерации», Инструкции о порядке рассмотрения обращений и приема граждан в органах прокуратуры Российской Федерации», утвержденной приказом Генерального прокурора РФ № 45 от 30.01.2013, других федеральных законов, приказов и</w:t>
      </w:r>
      <w:proofErr w:type="gramEnd"/>
      <w:r w:rsidRPr="00C6565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указаний Генерального прокурора РФ и прокурора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Pr="00C6565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области.</w:t>
      </w:r>
    </w:p>
    <w:sectPr w:rsidR="008D6DFC" w:rsidRPr="00C6565D" w:rsidSect="00ED28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characterSpacingControl w:val="doNotCompress"/>
  <w:compat/>
  <w:rsids>
    <w:rsidRoot w:val="00C6565D"/>
    <w:rsid w:val="00136B61"/>
    <w:rsid w:val="00617F36"/>
    <w:rsid w:val="008D6DFC"/>
    <w:rsid w:val="00C6565D"/>
    <w:rsid w:val="00DB56E4"/>
    <w:rsid w:val="00ED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FC"/>
  </w:style>
  <w:style w:type="paragraph" w:styleId="1">
    <w:name w:val="heading 1"/>
    <w:basedOn w:val="a"/>
    <w:link w:val="10"/>
    <w:uiPriority w:val="9"/>
    <w:qFormat/>
    <w:rsid w:val="00C6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65D"/>
    <w:rPr>
      <w:b/>
      <w:bCs/>
    </w:rPr>
  </w:style>
  <w:style w:type="character" w:styleId="a5">
    <w:name w:val="Hyperlink"/>
    <w:basedOn w:val="a0"/>
    <w:uiPriority w:val="99"/>
    <w:semiHidden/>
    <w:unhideWhenUsed/>
    <w:rsid w:val="00C6565D"/>
    <w:rPr>
      <w:color w:val="0000FF"/>
      <w:u w:val="single"/>
    </w:rPr>
  </w:style>
  <w:style w:type="character" w:styleId="a6">
    <w:name w:val="Emphasis"/>
    <w:basedOn w:val="a0"/>
    <w:uiPriority w:val="20"/>
    <w:qFormat/>
    <w:rsid w:val="00C65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F5DDDC1CD7CD8AE206CCDA57B5AA42973CC9BE81F63A4ADF534A6FE0CCA27221136CB18006D7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DA2592EBDAFAD54BA3EED46D1594E88B43647CD4E46A0FCF09A97wB3FJ" TargetMode="External"/><Relationship Id="rId12" Type="http://schemas.openxmlformats.org/officeDocument/2006/relationships/hyperlink" Target="consultantplus://offline/ref=1BBB96F802827E0020171CB8BDA23AEFC1A90507C2C7DA1A3BE5D86FD9E6DA522D0C950FE926r2F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B99F0950FED4E7B7BBA5DDC1B6337C80621584D5A933B3ADCBAEC810FF03B5AC4319DBE110A5BU02CJ" TargetMode="External"/><Relationship Id="rId11" Type="http://schemas.openxmlformats.org/officeDocument/2006/relationships/hyperlink" Target="consultantplus://offline/ref=E0C20FB6DF15E2C458430B4B111D155AB447C9644A493FE6A0A3925C5F904CD01AD262FD84A4l9A7K" TargetMode="External"/><Relationship Id="rId5" Type="http://schemas.openxmlformats.org/officeDocument/2006/relationships/hyperlink" Target="consultantplus://offline/ref=228D269B9E8371DF2C4DAB6150525C211171D6EA123D4FE4B3285EB04F7CD2660CB8776A7FDD4D4BI953J" TargetMode="External"/><Relationship Id="rId10" Type="http://schemas.openxmlformats.org/officeDocument/2006/relationships/hyperlink" Target="consultantplus://offline/ref=E0C20FB6DF15E2C458430B4B111D155AB447C9644A493FE6A0A3925C5F904CD01AD262FC87A3l9A7K" TargetMode="External"/><Relationship Id="rId4" Type="http://schemas.openxmlformats.org/officeDocument/2006/relationships/hyperlink" Target="consultantplus://offline/ref=6EF46CF789FC81C2BB943CE5850C438292C920A4094BF56F78D8587B9CE8285DD9A5F764B048973E6Bv3J" TargetMode="External"/><Relationship Id="rId9" Type="http://schemas.openxmlformats.org/officeDocument/2006/relationships/hyperlink" Target="consultantplus://offline/ref=E0C20FB6DF15E2C458430B4B111D155AB444CC6549483FE6A0A3925C5Fl9A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cp:lastPrinted>2019-04-22T09:40:00Z</cp:lastPrinted>
  <dcterms:created xsi:type="dcterms:W3CDTF">2019-06-17T06:46:00Z</dcterms:created>
  <dcterms:modified xsi:type="dcterms:W3CDTF">2019-06-17T06:46:00Z</dcterms:modified>
</cp:coreProperties>
</file>