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93" w:rsidRPr="00257A93" w:rsidRDefault="00257A93" w:rsidP="00257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93">
        <w:rPr>
          <w:rFonts w:ascii="Times New Roman" w:hAnsi="Times New Roman" w:cs="Times New Roman"/>
          <w:sz w:val="28"/>
          <w:szCs w:val="28"/>
        </w:rPr>
        <w:t>Куда обратиться за оборотным кредитом по ставке 15% для малого бизнеса?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7A93">
        <w:rPr>
          <w:rFonts w:ascii="Times New Roman" w:hAnsi="Times New Roman" w:cs="Times New Roman"/>
          <w:sz w:val="28"/>
          <w:szCs w:val="28"/>
        </w:rPr>
        <w:t>Кредиты по программе «1764» можно получить в 100 российских банках. Выдачи начнутся уже в конце марта. 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7A93">
        <w:rPr>
          <w:rFonts w:ascii="Times New Roman" w:hAnsi="Times New Roman" w:cs="Times New Roman"/>
          <w:sz w:val="28"/>
          <w:szCs w:val="28"/>
        </w:rPr>
        <w:t>Программа льготного кредитования малого и среднего бизнеса действует в рамках национального проекта «МСП и поддержка индивидуальной предпринимательской инициативы». Она стартовала в феврале 2019 года и рассчитана до 2024 года.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7A93">
        <w:rPr>
          <w:rFonts w:ascii="Times New Roman" w:hAnsi="Times New Roman" w:cs="Times New Roman"/>
          <w:sz w:val="28"/>
          <w:szCs w:val="28"/>
        </w:rPr>
        <w:t>Льготные кредиты можно взять на конкретные цели: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A93">
        <w:rPr>
          <w:rFonts w:ascii="Calibri" w:hAnsi="Calibri" w:cs="Times New Roman"/>
          <w:sz w:val="28"/>
          <w:szCs w:val="28"/>
        </w:rPr>
        <w:t>📍</w:t>
      </w:r>
      <w:r w:rsidRPr="00257A93">
        <w:rPr>
          <w:rFonts w:ascii="Times New Roman" w:hAnsi="Times New Roman" w:cs="Times New Roman"/>
          <w:sz w:val="28"/>
          <w:szCs w:val="28"/>
        </w:rPr>
        <w:t>инвестиционные (срок погашения до 10 лет);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A93">
        <w:rPr>
          <w:rFonts w:ascii="Calibri" w:hAnsi="Calibri" w:cs="Times New Roman"/>
          <w:sz w:val="28"/>
          <w:szCs w:val="28"/>
        </w:rPr>
        <w:t>📍</w:t>
      </w:r>
      <w:r w:rsidRPr="00257A93">
        <w:rPr>
          <w:rFonts w:ascii="Times New Roman" w:hAnsi="Times New Roman" w:cs="Times New Roman"/>
          <w:sz w:val="28"/>
          <w:szCs w:val="28"/>
        </w:rPr>
        <w:t>пополнение оборотных средств (до 1 года);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A93">
        <w:rPr>
          <w:rFonts w:ascii="Calibri" w:hAnsi="Calibri" w:cs="Times New Roman"/>
          <w:sz w:val="28"/>
          <w:szCs w:val="28"/>
        </w:rPr>
        <w:t>📍</w:t>
      </w:r>
      <w:r w:rsidRPr="00257A93">
        <w:rPr>
          <w:rFonts w:ascii="Times New Roman" w:hAnsi="Times New Roman" w:cs="Times New Roman"/>
          <w:sz w:val="28"/>
          <w:szCs w:val="28"/>
        </w:rPr>
        <w:t>рефинансирование;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A93">
        <w:rPr>
          <w:rFonts w:ascii="Calibri" w:hAnsi="Calibri" w:cs="Times New Roman"/>
          <w:sz w:val="28"/>
          <w:szCs w:val="28"/>
        </w:rPr>
        <w:t>📍</w:t>
      </w:r>
      <w:r w:rsidRPr="00257A93">
        <w:rPr>
          <w:rFonts w:ascii="Times New Roman" w:hAnsi="Times New Roman" w:cs="Times New Roman"/>
          <w:sz w:val="28"/>
          <w:szCs w:val="28"/>
        </w:rPr>
        <w:t>развитие предпринимательской деятельности.</w:t>
      </w:r>
    </w:p>
    <w:p w:rsidR="00257A93" w:rsidRPr="00257A93" w:rsidRDefault="00257A93" w:rsidP="00257A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A93">
        <w:rPr>
          <w:rFonts w:ascii="Times New Roman" w:hAnsi="Times New Roman" w:cs="Times New Roman"/>
          <w:sz w:val="28"/>
          <w:szCs w:val="28"/>
        </w:rPr>
        <w:t>Полный список банков операторов.</w:t>
      </w:r>
    </w:p>
    <w:p w:rsidR="006133D0" w:rsidRDefault="00257A93"/>
    <w:sectPr w:rsidR="006133D0" w:rsidSect="0057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57A93"/>
    <w:rsid w:val="00257A93"/>
    <w:rsid w:val="00547256"/>
    <w:rsid w:val="0057782E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2022-03-22T05:07:00Z</dcterms:created>
  <dcterms:modified xsi:type="dcterms:W3CDTF">2022-03-22T05:08:00Z</dcterms:modified>
</cp:coreProperties>
</file>