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70" w:rsidRPr="00C97970" w:rsidRDefault="00C97970" w:rsidP="00C97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970">
        <w:rPr>
          <w:rFonts w:ascii="Times New Roman" w:hAnsi="Times New Roman" w:cs="Times New Roman"/>
          <w:sz w:val="24"/>
          <w:szCs w:val="24"/>
        </w:rPr>
        <w:t>Объясняет министр экономического развития Российской Федерации Максим Решетников.</w:t>
      </w:r>
    </w:p>
    <w:p w:rsidR="00C97970" w:rsidRPr="00C97970" w:rsidRDefault="00C97970" w:rsidP="00C97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970">
        <w:rPr>
          <w:rFonts w:ascii="Times New Roman" w:hAnsi="Times New Roman" w:cs="Times New Roman"/>
          <w:sz w:val="24"/>
          <w:szCs w:val="24"/>
        </w:rPr>
        <w:t>Предприятия, в которых работает до 5 человек, с 1 июля этого года смогут перейти на новый налоговый режим «АУСН-онлайн». Это такая автоматизированная «упрощёнка», которая освободит микрокомпании от обязанности подавать отчётность. За них сумму к уплате рассчитает налоговая служба.</w:t>
      </w:r>
    </w:p>
    <w:p w:rsidR="00C97970" w:rsidRPr="00C97970" w:rsidRDefault="00C97970" w:rsidP="00C97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970">
        <w:rPr>
          <w:rFonts w:ascii="Times New Roman" w:hAnsi="Times New Roman" w:cs="Times New Roman"/>
          <w:sz w:val="24"/>
          <w:szCs w:val="24"/>
        </w:rPr>
        <w:t>Правительство приняло ряд решений общего характера в части налогообложения малого и среднего предпринимательства. Например, в первом чтении одобрен проект федерального закона, который предусматривает снижение размера пени за просрочку уплаты налогов в два раза. Также предлагается кадастровую стоимость недвижимого имущества, применяемую для определения налога на имущество за 2023 год, зафиксировать на 1 января 2022 года.</w:t>
      </w:r>
    </w:p>
    <w:p w:rsidR="006133D0" w:rsidRDefault="00C97970"/>
    <w:sectPr w:rsidR="006133D0" w:rsidSect="0003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C97970"/>
    <w:rsid w:val="000319B0"/>
    <w:rsid w:val="00547256"/>
    <w:rsid w:val="00BB7B4B"/>
    <w:rsid w:val="00C9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2022-03-17T11:32:00Z</dcterms:created>
  <dcterms:modified xsi:type="dcterms:W3CDTF">2022-03-17T11:33:00Z</dcterms:modified>
</cp:coreProperties>
</file>